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FE53C" w14:textId="77777777" w:rsidR="0097535C" w:rsidRDefault="001C5948" w:rsidP="0015069D">
      <w:pPr>
        <w:pStyle w:val="Heading1"/>
        <w:tabs>
          <w:tab w:val="clear" w:pos="6647"/>
          <w:tab w:val="left" w:pos="720"/>
          <w:tab w:val="left" w:pos="5585"/>
        </w:tabs>
        <w:contextualSpacing/>
      </w:pPr>
      <w:r w:rsidRPr="00873AE2">
        <w:t>Appendix</w:t>
      </w:r>
    </w:p>
    <w:p w14:paraId="3D54A79C" w14:textId="77777777" w:rsidR="0097535C" w:rsidRDefault="0097535C" w:rsidP="0015069D">
      <w:pPr>
        <w:pStyle w:val="Heading1"/>
        <w:tabs>
          <w:tab w:val="clear" w:pos="6647"/>
          <w:tab w:val="left" w:pos="720"/>
          <w:tab w:val="left" w:pos="5585"/>
        </w:tabs>
        <w:contextualSpacing/>
      </w:pPr>
    </w:p>
    <w:p w14:paraId="1EF62CFA" w14:textId="6D5A5D94" w:rsidR="00FD5354" w:rsidRPr="00FD5354" w:rsidRDefault="0097535C" w:rsidP="00185940">
      <w:pPr>
        <w:pStyle w:val="Heading1"/>
        <w:tabs>
          <w:tab w:val="clear" w:pos="6647"/>
          <w:tab w:val="left" w:pos="720"/>
          <w:tab w:val="left" w:pos="5585"/>
        </w:tabs>
        <w:contextualSpacing/>
      </w:pPr>
      <w:r>
        <w:t xml:space="preserve">Table A. </w:t>
      </w:r>
      <w:r w:rsidR="00FD5354" w:rsidRPr="005236E1">
        <w:t>Massachusetts</w:t>
      </w:r>
      <w:r w:rsidR="00FD5354">
        <w:t xml:space="preserve"> Select </w:t>
      </w:r>
      <w:r w:rsidR="00FD5354" w:rsidRPr="005236E1">
        <w:t xml:space="preserve">Equity </w:t>
      </w:r>
      <w:r w:rsidR="00FD5354" w:rsidRPr="00DD0689">
        <w:t xml:space="preserve">Provisions (as </w:t>
      </w:r>
      <w:r w:rsidR="00EC2214">
        <w:t xml:space="preserve">of </w:t>
      </w:r>
      <w:r w:rsidR="00FD5354" w:rsidRPr="00DD0689">
        <w:t>April 2020)</w:t>
      </w:r>
    </w:p>
    <w:tbl>
      <w:tblPr>
        <w:tblStyle w:val="ListTable4"/>
        <w:tblW w:w="9646" w:type="dxa"/>
        <w:tblLook w:val="04A0" w:firstRow="1" w:lastRow="0" w:firstColumn="1" w:lastColumn="0" w:noHBand="0" w:noVBand="1"/>
      </w:tblPr>
      <w:tblGrid>
        <w:gridCol w:w="3291"/>
        <w:gridCol w:w="2303"/>
        <w:gridCol w:w="4052"/>
      </w:tblGrid>
      <w:tr w:rsidR="00FD5354" w:rsidRPr="009B5372" w14:paraId="134DEF65" w14:textId="77777777" w:rsidTr="00B86642">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3291" w:type="dxa"/>
          </w:tcPr>
          <w:p w14:paraId="652843AA" w14:textId="77777777" w:rsidR="00FD5354" w:rsidRPr="002521AE" w:rsidRDefault="00FD5354" w:rsidP="00B86642">
            <w:pPr>
              <w:contextualSpacing/>
              <w:rPr>
                <w:rFonts w:ascii="Times New Roman" w:hAnsi="Times New Roman" w:cs="Times New Roman"/>
                <w:sz w:val="24"/>
                <w:szCs w:val="24"/>
              </w:rPr>
            </w:pPr>
            <w:r>
              <w:rPr>
                <w:rFonts w:ascii="Times New Roman" w:hAnsi="Times New Roman" w:cs="Times New Roman"/>
                <w:sz w:val="24"/>
                <w:szCs w:val="24"/>
              </w:rPr>
              <w:t>Provision</w:t>
            </w:r>
          </w:p>
          <w:p w14:paraId="54B8D096" w14:textId="77777777" w:rsidR="00FD5354" w:rsidRPr="009B5372" w:rsidRDefault="00FD5354" w:rsidP="00B86642">
            <w:pPr>
              <w:contextualSpacing/>
              <w:rPr>
                <w:rFonts w:ascii="Times New Roman" w:hAnsi="Times New Roman" w:cs="Times New Roman"/>
                <w:sz w:val="24"/>
                <w:szCs w:val="24"/>
              </w:rPr>
            </w:pPr>
          </w:p>
        </w:tc>
        <w:tc>
          <w:tcPr>
            <w:tcW w:w="2303" w:type="dxa"/>
          </w:tcPr>
          <w:p w14:paraId="5126DFAF" w14:textId="77777777" w:rsidR="00FD5354" w:rsidRPr="009B5372" w:rsidRDefault="00FD5354" w:rsidP="00B86642">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Legislative or Regulatory</w:t>
            </w:r>
          </w:p>
        </w:tc>
        <w:tc>
          <w:tcPr>
            <w:tcW w:w="4052" w:type="dxa"/>
          </w:tcPr>
          <w:p w14:paraId="5B602A91" w14:textId="77777777" w:rsidR="00FD5354" w:rsidRPr="009B5372" w:rsidRDefault="00FD5354" w:rsidP="00B86642">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Description</w:t>
            </w:r>
          </w:p>
        </w:tc>
      </w:tr>
      <w:tr w:rsidR="00FD5354" w:rsidRPr="009B5372" w14:paraId="0E356E6B" w14:textId="77777777" w:rsidTr="00B86642">
        <w:trPr>
          <w:cnfStyle w:val="000000100000" w:firstRow="0" w:lastRow="0" w:firstColumn="0" w:lastColumn="0" w:oddVBand="0" w:evenVBand="0" w:oddHBand="1" w:evenHBand="0" w:firstRowFirstColumn="0" w:firstRowLastColumn="0" w:lastRowFirstColumn="0" w:lastRowLastColumn="0"/>
          <w:trHeight w:val="1096"/>
        </w:trPr>
        <w:tc>
          <w:tcPr>
            <w:cnfStyle w:val="001000000000" w:firstRow="0" w:lastRow="0" w:firstColumn="1" w:lastColumn="0" w:oddVBand="0" w:evenVBand="0" w:oddHBand="0" w:evenHBand="0" w:firstRowFirstColumn="0" w:firstRowLastColumn="0" w:lastRowFirstColumn="0" w:lastRowLastColumn="0"/>
            <w:tcW w:w="3291" w:type="dxa"/>
          </w:tcPr>
          <w:p w14:paraId="2FE5ACB1" w14:textId="77777777" w:rsidR="00FD5354" w:rsidRPr="009B5372" w:rsidRDefault="00FD5354" w:rsidP="00B86642">
            <w:pPr>
              <w:contextualSpacing/>
              <w:rPr>
                <w:rFonts w:ascii="Times New Roman" w:hAnsi="Times New Roman" w:cs="Times New Roman"/>
                <w:sz w:val="24"/>
                <w:szCs w:val="24"/>
              </w:rPr>
            </w:pPr>
            <w:r>
              <w:rPr>
                <w:rFonts w:ascii="Times New Roman" w:hAnsi="Times New Roman" w:cs="Times New Roman"/>
                <w:sz w:val="24"/>
                <w:szCs w:val="24"/>
              </w:rPr>
              <w:t>Legislative mandate to promote equitable participation</w:t>
            </w:r>
          </w:p>
        </w:tc>
        <w:tc>
          <w:tcPr>
            <w:tcW w:w="2303" w:type="dxa"/>
          </w:tcPr>
          <w:p w14:paraId="191EC238" w14:textId="77777777" w:rsidR="00FD5354" w:rsidRDefault="00FD5354" w:rsidP="00B86642">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Legislative</w:t>
            </w:r>
          </w:p>
          <w:p w14:paraId="4C0D8F7F" w14:textId="77777777" w:rsidR="00FD5354" w:rsidRDefault="00FD5354" w:rsidP="00B86642">
            <w:pPr>
              <w:contextualSpacing/>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3F46DAF8" w14:textId="77777777" w:rsidR="00FD5354" w:rsidRPr="009B5372" w:rsidRDefault="00E1696F" w:rsidP="00B86642">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0" w:history="1">
              <w:r w:rsidR="00FD5354" w:rsidRPr="000B5DCF">
                <w:rPr>
                  <w:rStyle w:val="Hyperlink"/>
                  <w:rFonts w:ascii="Times New Roman" w:hAnsi="Times New Roman" w:cs="Times New Roman"/>
                  <w:sz w:val="24"/>
                  <w:szCs w:val="24"/>
                </w:rPr>
                <w:t xml:space="preserve">M.G.L. </w:t>
              </w:r>
              <w:r w:rsidR="00FD5354" w:rsidRPr="000B5DCF">
                <w:rPr>
                  <w:rStyle w:val="Hyperlink"/>
                  <w:sz w:val="24"/>
                  <w:szCs w:val="24"/>
                </w:rPr>
                <w:t>c.</w:t>
              </w:r>
              <w:r w:rsidR="00FD5354" w:rsidRPr="000B5DCF">
                <w:rPr>
                  <w:rStyle w:val="Hyperlink"/>
                  <w:rFonts w:ascii="Times New Roman" w:hAnsi="Times New Roman" w:cs="Times New Roman"/>
                  <w:sz w:val="24"/>
                  <w:szCs w:val="24"/>
                </w:rPr>
                <w:t xml:space="preserve"> 94G, §§ 4</w:t>
              </w:r>
              <w:r w:rsidR="00FD5354" w:rsidRPr="000B5DCF">
                <w:rPr>
                  <w:rStyle w:val="Hyperlink"/>
                  <w:sz w:val="24"/>
                  <w:szCs w:val="24"/>
                </w:rPr>
                <w:t>(</w:t>
              </w:r>
              <w:r w:rsidR="00FD5354" w:rsidRPr="000B5DCF">
                <w:rPr>
                  <w:rStyle w:val="Hyperlink"/>
                  <w:rFonts w:ascii="Times New Roman" w:hAnsi="Times New Roman" w:cs="Times New Roman"/>
                  <w:sz w:val="24"/>
                  <w:szCs w:val="24"/>
                </w:rPr>
                <w:t>a)(xxviii)</w:t>
              </w:r>
              <w:r w:rsidR="00FD5354" w:rsidRPr="000B5DCF">
                <w:rPr>
                  <w:rStyle w:val="Hyperlink"/>
                  <w:sz w:val="24"/>
                  <w:szCs w:val="24"/>
                </w:rPr>
                <w:t xml:space="preserve"> –</w:t>
              </w:r>
              <w:r w:rsidR="00FD5354" w:rsidRPr="000B5DCF">
                <w:rPr>
                  <w:rStyle w:val="Hyperlink"/>
                  <w:rFonts w:ascii="Times New Roman" w:hAnsi="Times New Roman" w:cs="Times New Roman"/>
                  <w:sz w:val="24"/>
                  <w:szCs w:val="24"/>
                </w:rPr>
                <w:t xml:space="preserve"> </w:t>
              </w:r>
              <w:r w:rsidR="00FD5354" w:rsidRPr="000B5DCF">
                <w:rPr>
                  <w:rStyle w:val="Hyperlink"/>
                  <w:sz w:val="24"/>
                  <w:szCs w:val="24"/>
                </w:rPr>
                <w:t>4(</w:t>
              </w:r>
              <w:r w:rsidR="00FD5354" w:rsidRPr="000B5DCF">
                <w:rPr>
                  <w:rStyle w:val="Hyperlink"/>
                  <w:rFonts w:ascii="Times New Roman" w:hAnsi="Times New Roman" w:cs="Times New Roman"/>
                  <w:sz w:val="24"/>
                  <w:szCs w:val="24"/>
                </w:rPr>
                <w:t>a ½)(iv)</w:t>
              </w:r>
            </w:hyperlink>
          </w:p>
        </w:tc>
        <w:tc>
          <w:tcPr>
            <w:tcW w:w="4052" w:type="dxa"/>
          </w:tcPr>
          <w:p w14:paraId="1C4B4226" w14:textId="77777777" w:rsidR="00FD5354" w:rsidRPr="009B5372" w:rsidRDefault="00FD5354" w:rsidP="00B86642">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Legislation requires </w:t>
            </w:r>
            <w:r w:rsidRPr="0D1F8597">
              <w:rPr>
                <w:rFonts w:ascii="Times New Roman" w:hAnsi="Times New Roman" w:cs="Times New Roman"/>
                <w:sz w:val="24"/>
                <w:szCs w:val="24"/>
              </w:rPr>
              <w:t>the</w:t>
            </w:r>
            <w:r>
              <w:rPr>
                <w:rFonts w:ascii="Times New Roman" w:hAnsi="Times New Roman" w:cs="Times New Roman"/>
                <w:sz w:val="24"/>
                <w:szCs w:val="24"/>
              </w:rPr>
              <w:t xml:space="preserve"> regulatory body for legal cannabis (Cannabis Control Commission “CCC”) to develop regulations which include, “</w:t>
            </w:r>
            <w:r w:rsidRPr="00092145">
              <w:rPr>
                <w:rFonts w:ascii="Times New Roman" w:hAnsi="Times New Roman" w:cs="Times New Roman"/>
                <w:sz w:val="24"/>
                <w:szCs w:val="24"/>
              </w:rPr>
              <w:t>procedures and policies to promote and encourage full participation in the regulated marijuana industry by people from communities that have previously been disproportionately harmed by marijuana prohibition and enforcement and to positively impact those communities</w:t>
            </w:r>
            <w:r>
              <w:rPr>
                <w:rFonts w:ascii="Times New Roman" w:hAnsi="Times New Roman" w:cs="Times New Roman"/>
                <w:sz w:val="24"/>
                <w:szCs w:val="24"/>
              </w:rPr>
              <w:t>.”</w:t>
            </w:r>
          </w:p>
        </w:tc>
      </w:tr>
      <w:tr w:rsidR="00FD5354" w:rsidRPr="009B5372" w14:paraId="6B3B757A" w14:textId="77777777" w:rsidTr="00B86642">
        <w:trPr>
          <w:trHeight w:val="1096"/>
        </w:trPr>
        <w:tc>
          <w:tcPr>
            <w:cnfStyle w:val="001000000000" w:firstRow="0" w:lastRow="0" w:firstColumn="1" w:lastColumn="0" w:oddVBand="0" w:evenVBand="0" w:oddHBand="0" w:evenHBand="0" w:firstRowFirstColumn="0" w:firstRowLastColumn="0" w:lastRowFirstColumn="0" w:lastRowLastColumn="0"/>
            <w:tcW w:w="3291" w:type="dxa"/>
          </w:tcPr>
          <w:p w14:paraId="32D9C4B5" w14:textId="77777777" w:rsidR="00FD5354" w:rsidRDefault="00FD5354" w:rsidP="00B86642">
            <w:pPr>
              <w:contextualSpacing/>
              <w:rPr>
                <w:rFonts w:ascii="Times New Roman" w:hAnsi="Times New Roman" w:cs="Times New Roman"/>
                <w:sz w:val="24"/>
                <w:szCs w:val="24"/>
              </w:rPr>
            </w:pPr>
            <w:r>
              <w:rPr>
                <w:rFonts w:ascii="Times New Roman" w:hAnsi="Times New Roman" w:cs="Times New Roman"/>
                <w:sz w:val="24"/>
                <w:szCs w:val="24"/>
              </w:rPr>
              <w:t>Past cannabis conviction does not exclude industry participation</w:t>
            </w:r>
          </w:p>
        </w:tc>
        <w:tc>
          <w:tcPr>
            <w:tcW w:w="2303" w:type="dxa"/>
          </w:tcPr>
          <w:p w14:paraId="675C1251" w14:textId="77777777" w:rsidR="00FD5354" w:rsidRPr="00ED6E5D" w:rsidRDefault="00FD5354" w:rsidP="00B866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6E5D">
              <w:rPr>
                <w:rFonts w:ascii="Times New Roman" w:hAnsi="Times New Roman" w:cs="Times New Roman"/>
                <w:sz w:val="24"/>
                <w:szCs w:val="24"/>
              </w:rPr>
              <w:t>Legislative</w:t>
            </w:r>
          </w:p>
          <w:p w14:paraId="5237A0F7" w14:textId="77777777" w:rsidR="00FD5354" w:rsidRDefault="00FD5354" w:rsidP="00B86642">
            <w:pPr>
              <w:contextualSpacing/>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14:paraId="3B270104" w14:textId="502BE3EC" w:rsidR="00FD5354" w:rsidRPr="00A150FA" w:rsidRDefault="00E0049B" w:rsidP="00B866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1" w:history="1">
              <w:r w:rsidR="00331551">
                <w:rPr>
                  <w:rStyle w:val="Hyperlink"/>
                  <w:rFonts w:ascii="Times New Roman" w:hAnsi="Times New Roman" w:cs="Times New Roman"/>
                  <w:sz w:val="24"/>
                  <w:szCs w:val="24"/>
                </w:rPr>
                <w:t>M.G. L. c. 94G,§§ (4)(a)(xxviii) – (a ½)(iii)</w:t>
              </w:r>
            </w:hyperlink>
          </w:p>
        </w:tc>
        <w:tc>
          <w:tcPr>
            <w:tcW w:w="4052" w:type="dxa"/>
          </w:tcPr>
          <w:p w14:paraId="625ED5C3" w14:textId="77777777" w:rsidR="00FD5354" w:rsidRPr="001B7218" w:rsidRDefault="00FD5354" w:rsidP="00B866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7218">
              <w:rPr>
                <w:rFonts w:ascii="Times New Roman" w:hAnsi="Times New Roman" w:cs="Times New Roman"/>
                <w:sz w:val="24"/>
                <w:szCs w:val="24"/>
              </w:rPr>
              <w:t>Legislation states that “a prior conviction solely for a marijuana-related offense or for a violation…shall not disqualify an individual or otherwise affect eligibility for employment or licensure in connection with a marijuana establishment, unless the offense involved the distribution of a controlled substance, including marijuana, to a minor.”</w:t>
            </w:r>
          </w:p>
        </w:tc>
      </w:tr>
      <w:tr w:rsidR="00FD5354" w:rsidRPr="009B5372" w14:paraId="1DAAEEEC" w14:textId="77777777" w:rsidTr="00B86642">
        <w:trPr>
          <w:cnfStyle w:val="000000100000" w:firstRow="0" w:lastRow="0" w:firstColumn="0" w:lastColumn="0" w:oddVBand="0" w:evenVBand="0" w:oddHBand="1" w:evenHBand="0" w:firstRowFirstColumn="0" w:firstRowLastColumn="0" w:lastRowFirstColumn="0" w:lastRowLastColumn="0"/>
          <w:trHeight w:val="1096"/>
        </w:trPr>
        <w:tc>
          <w:tcPr>
            <w:cnfStyle w:val="001000000000" w:firstRow="0" w:lastRow="0" w:firstColumn="1" w:lastColumn="0" w:oddVBand="0" w:evenVBand="0" w:oddHBand="0" w:evenHBand="0" w:firstRowFirstColumn="0" w:firstRowLastColumn="0" w:lastRowFirstColumn="0" w:lastRowLastColumn="0"/>
            <w:tcW w:w="3291" w:type="dxa"/>
          </w:tcPr>
          <w:p w14:paraId="6316A8C7" w14:textId="77777777" w:rsidR="00FD5354" w:rsidRDefault="00FD5354" w:rsidP="00B86642">
            <w:pPr>
              <w:contextualSpacing/>
              <w:rPr>
                <w:rFonts w:ascii="Times New Roman" w:hAnsi="Times New Roman" w:cs="Times New Roman"/>
                <w:sz w:val="24"/>
                <w:szCs w:val="24"/>
              </w:rPr>
            </w:pPr>
            <w:r>
              <w:rPr>
                <w:rFonts w:ascii="Times New Roman" w:hAnsi="Times New Roman" w:cs="Times New Roman"/>
                <w:sz w:val="24"/>
                <w:szCs w:val="24"/>
              </w:rPr>
              <w:t>Ownership restrictions</w:t>
            </w:r>
          </w:p>
        </w:tc>
        <w:tc>
          <w:tcPr>
            <w:tcW w:w="2303" w:type="dxa"/>
          </w:tcPr>
          <w:p w14:paraId="7755C404" w14:textId="77777777" w:rsidR="00FD5354" w:rsidRPr="009F4983" w:rsidRDefault="00FD5354" w:rsidP="00B86642">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4983">
              <w:rPr>
                <w:rFonts w:ascii="Times New Roman" w:hAnsi="Times New Roman" w:cs="Times New Roman"/>
                <w:sz w:val="24"/>
                <w:szCs w:val="24"/>
              </w:rPr>
              <w:t>Legislative</w:t>
            </w:r>
          </w:p>
          <w:p w14:paraId="304DB29C" w14:textId="77777777" w:rsidR="00FD5354" w:rsidRPr="000B5DCF" w:rsidRDefault="00FD5354" w:rsidP="00B86642">
            <w:pPr>
              <w:contextualSpacing/>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HYPERLINK "https://malegislature.gov/Laws/GeneralLaws/PartI/TitleXV/Chapter94G/Section16"</w:instrText>
            </w:r>
            <w:r>
              <w:rPr>
                <w:rFonts w:ascii="Times New Roman" w:hAnsi="Times New Roman" w:cs="Times New Roman"/>
                <w:sz w:val="24"/>
                <w:szCs w:val="24"/>
              </w:rPr>
              <w:fldChar w:fldCharType="separate"/>
            </w:r>
            <w:r w:rsidRPr="00D12083">
              <w:rPr>
                <w:rStyle w:val="Hyperlink"/>
                <w:rFonts w:ascii="Times New Roman" w:hAnsi="Times New Roman" w:cs="Times New Roman"/>
                <w:sz w:val="24"/>
                <w:szCs w:val="24"/>
              </w:rPr>
              <w:t xml:space="preserve">M. </w:t>
            </w:r>
            <w:r w:rsidRPr="000B5DCF">
              <w:rPr>
                <w:rFonts w:ascii="Times New Roman" w:hAnsi="Times New Roman" w:cs="Times New Roman"/>
                <w:sz w:val="24"/>
                <w:szCs w:val="24"/>
              </w:rPr>
              <w:fldChar w:fldCharType="begin"/>
            </w:r>
            <w:r w:rsidRPr="000B5DCF">
              <w:rPr>
                <w:rFonts w:ascii="Times New Roman" w:hAnsi="Times New Roman" w:cs="Times New Roman"/>
                <w:sz w:val="24"/>
                <w:szCs w:val="24"/>
              </w:rPr>
              <w:instrText xml:space="preserve"> HYPERLINK "https://malegislature.gov/Laws/GeneralLaws/PartI/TitleXV/Chapter94G/Section16" </w:instrText>
            </w:r>
            <w:r w:rsidRPr="000B5DCF">
              <w:rPr>
                <w:rFonts w:ascii="Times New Roman" w:hAnsi="Times New Roman" w:cs="Times New Roman"/>
                <w:sz w:val="24"/>
                <w:szCs w:val="24"/>
              </w:rPr>
              <w:fldChar w:fldCharType="separate"/>
            </w:r>
            <w:r w:rsidRPr="000B5DCF">
              <w:rPr>
                <w:rStyle w:val="Hyperlink"/>
                <w:rFonts w:ascii="Times New Roman" w:hAnsi="Times New Roman" w:cs="Times New Roman"/>
                <w:sz w:val="24"/>
                <w:szCs w:val="24"/>
              </w:rPr>
              <w:t xml:space="preserve">G. L. </w:t>
            </w:r>
            <w:r w:rsidRPr="000B5DCF">
              <w:rPr>
                <w:rStyle w:val="Hyperlink"/>
                <w:sz w:val="24"/>
                <w:szCs w:val="24"/>
              </w:rPr>
              <w:t>c.</w:t>
            </w:r>
            <w:r w:rsidRPr="000B5DCF">
              <w:rPr>
                <w:rStyle w:val="Hyperlink"/>
                <w:rFonts w:ascii="Times New Roman" w:hAnsi="Times New Roman" w:cs="Times New Roman"/>
                <w:sz w:val="24"/>
                <w:szCs w:val="24"/>
              </w:rPr>
              <w:t xml:space="preserve"> 94G, §16</w:t>
            </w:r>
          </w:p>
          <w:p w14:paraId="2FC9C68A" w14:textId="77777777" w:rsidR="00FD5354" w:rsidRPr="001042E7" w:rsidRDefault="00FD5354" w:rsidP="00B86642">
            <w:pPr>
              <w:contextualSpacing/>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r w:rsidRPr="000B5DCF">
              <w:rPr>
                <w:rFonts w:ascii="Times New Roman" w:hAnsi="Times New Roman" w:cs="Times New Roman"/>
                <w:sz w:val="24"/>
                <w:szCs w:val="24"/>
              </w:rPr>
              <w:fldChar w:fldCharType="end"/>
            </w:r>
          </w:p>
          <w:p w14:paraId="6AD27AFD" w14:textId="77777777" w:rsidR="00FD5354" w:rsidRDefault="00FD5354" w:rsidP="00B86642">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fldChar w:fldCharType="end"/>
            </w:r>
          </w:p>
          <w:p w14:paraId="27C53A77" w14:textId="77777777" w:rsidR="00FD5354" w:rsidRPr="009F4983" w:rsidRDefault="00FD5354" w:rsidP="00B86642">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052" w:type="dxa"/>
          </w:tcPr>
          <w:p w14:paraId="5460B920" w14:textId="77777777" w:rsidR="00FD5354" w:rsidRPr="001B7218" w:rsidRDefault="00FD5354" w:rsidP="00B86642">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7218">
              <w:rPr>
                <w:rFonts w:ascii="Times New Roman" w:hAnsi="Times New Roman" w:cs="Times New Roman"/>
                <w:sz w:val="24"/>
                <w:szCs w:val="24"/>
              </w:rPr>
              <w:t>Legislation states “No licensee shall be granted more than three marijuana retailer licenses, three medical marijuana treatment center licenses, three marijuana product manufacturer licenses or three marijuana cultivator licenses; provided, however, that a licensee may hold three marijuana retailer licenses, three medical marijuana treatment center licenses, three marijuana product manufacturer licenses and three marijuana cultivator licenses.”</w:t>
            </w:r>
          </w:p>
        </w:tc>
      </w:tr>
      <w:tr w:rsidR="00FD5354" w:rsidRPr="009B5372" w14:paraId="58963A2C" w14:textId="77777777" w:rsidTr="00B86642">
        <w:trPr>
          <w:trHeight w:val="1096"/>
        </w:trPr>
        <w:tc>
          <w:tcPr>
            <w:cnfStyle w:val="001000000000" w:firstRow="0" w:lastRow="0" w:firstColumn="1" w:lastColumn="0" w:oddVBand="0" w:evenVBand="0" w:oddHBand="0" w:evenHBand="0" w:firstRowFirstColumn="0" w:firstRowLastColumn="0" w:lastRowFirstColumn="0" w:lastRowLastColumn="0"/>
            <w:tcW w:w="3291" w:type="dxa"/>
          </w:tcPr>
          <w:p w14:paraId="419C9599" w14:textId="77777777" w:rsidR="00FD5354" w:rsidRPr="000A1AB2" w:rsidRDefault="00FD5354" w:rsidP="00B86642">
            <w:pPr>
              <w:contextualSpacing/>
              <w:rPr>
                <w:rFonts w:ascii="Times New Roman" w:hAnsi="Times New Roman" w:cs="Times New Roman"/>
                <w:sz w:val="24"/>
                <w:szCs w:val="24"/>
              </w:rPr>
            </w:pPr>
            <w:r w:rsidRPr="00D7405A">
              <w:rPr>
                <w:rFonts w:ascii="Times New Roman" w:hAnsi="Times New Roman" w:cs="Times New Roman"/>
                <w:sz w:val="24"/>
                <w:szCs w:val="24"/>
              </w:rPr>
              <w:t>Research requirements</w:t>
            </w:r>
          </w:p>
        </w:tc>
        <w:tc>
          <w:tcPr>
            <w:tcW w:w="2303" w:type="dxa"/>
          </w:tcPr>
          <w:p w14:paraId="2F23DB76" w14:textId="77777777" w:rsidR="00FD5354" w:rsidRPr="00D7405A" w:rsidRDefault="00FD5354" w:rsidP="00B866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7405A">
              <w:rPr>
                <w:rFonts w:ascii="Times New Roman" w:hAnsi="Times New Roman" w:cs="Times New Roman"/>
                <w:sz w:val="24"/>
                <w:szCs w:val="24"/>
              </w:rPr>
              <w:t>Legislative</w:t>
            </w:r>
          </w:p>
          <w:p w14:paraId="0DA6FF48" w14:textId="77777777" w:rsidR="00FD5354" w:rsidRPr="000A1AB2" w:rsidRDefault="00FD5354" w:rsidP="00B866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A9C3696" w14:textId="77777777" w:rsidR="00FD5354" w:rsidRPr="000A1AB2" w:rsidRDefault="00E1696F" w:rsidP="00B866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2" w:history="1">
              <w:r w:rsidR="00FD5354">
                <w:rPr>
                  <w:rStyle w:val="Hyperlink"/>
                  <w:rFonts w:ascii="Times New Roman" w:hAnsi="Times New Roman" w:cs="Times New Roman"/>
                  <w:sz w:val="24"/>
                  <w:szCs w:val="24"/>
                </w:rPr>
                <w:t>M. G.</w:t>
              </w:r>
              <w:r w:rsidR="00FD5354" w:rsidRPr="000B5DCF">
                <w:rPr>
                  <w:rStyle w:val="Hyperlink"/>
                  <w:rFonts w:ascii="Times New Roman" w:hAnsi="Times New Roman" w:cs="Times New Roman"/>
                  <w:sz w:val="24"/>
                  <w:szCs w:val="24"/>
                </w:rPr>
                <w:t xml:space="preserve"> L. c., 94G, § 17(a</w:t>
              </w:r>
            </w:hyperlink>
            <w:r w:rsidR="00FD5354" w:rsidRPr="00D7405A">
              <w:rPr>
                <w:rStyle w:val="Hyperlink"/>
                <w:rFonts w:ascii="Times New Roman" w:hAnsi="Times New Roman" w:cs="Times New Roman"/>
                <w:sz w:val="24"/>
                <w:szCs w:val="24"/>
              </w:rPr>
              <w:t>)</w:t>
            </w:r>
          </w:p>
          <w:p w14:paraId="35E6F2A2" w14:textId="77777777" w:rsidR="00FD5354" w:rsidRPr="00D7405A" w:rsidRDefault="00FD5354" w:rsidP="00B866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052" w:type="dxa"/>
          </w:tcPr>
          <w:p w14:paraId="77F6F808" w14:textId="75E6868F" w:rsidR="00FD5354" w:rsidRPr="001B7218" w:rsidRDefault="00FD5354" w:rsidP="00B866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7218">
              <w:rPr>
                <w:rFonts w:ascii="Times New Roman" w:hAnsi="Times New Roman" w:cs="Times New Roman"/>
                <w:sz w:val="24"/>
                <w:szCs w:val="24"/>
              </w:rPr>
              <w:t xml:space="preserve">Legislation requires the CCC </w:t>
            </w:r>
            <w:r w:rsidR="006643CA">
              <w:rPr>
                <w:rFonts w:ascii="Times New Roman" w:hAnsi="Times New Roman" w:cs="Times New Roman"/>
                <w:sz w:val="24"/>
                <w:szCs w:val="24"/>
              </w:rPr>
              <w:t xml:space="preserve">to </w:t>
            </w:r>
            <w:r w:rsidRPr="001B7218">
              <w:rPr>
                <w:rFonts w:ascii="Times New Roman" w:hAnsi="Times New Roman" w:cs="Times New Roman"/>
                <w:sz w:val="24"/>
                <w:szCs w:val="24"/>
              </w:rPr>
              <w:t xml:space="preserve">develop a research agenda which includes, “ownership and employment trends in the marijuana industry examining participation by racial, </w:t>
            </w:r>
            <w:r w:rsidRPr="001B7218">
              <w:rPr>
                <w:rFonts w:ascii="Times New Roman" w:hAnsi="Times New Roman" w:cs="Times New Roman"/>
                <w:sz w:val="24"/>
                <w:szCs w:val="24"/>
              </w:rPr>
              <w:lastRenderedPageBreak/>
              <w:t>ethnic and socioeconomic subgroups, including identification of barriers to participation in the industry.”</w:t>
            </w:r>
          </w:p>
        </w:tc>
      </w:tr>
      <w:tr w:rsidR="00FD5354" w:rsidRPr="009B5372" w14:paraId="0509D472" w14:textId="77777777" w:rsidTr="00B86642">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291" w:type="dxa"/>
          </w:tcPr>
          <w:p w14:paraId="1642A026" w14:textId="77777777" w:rsidR="00FD5354" w:rsidRPr="009B5372" w:rsidRDefault="00FD5354" w:rsidP="00B86642">
            <w:pPr>
              <w:contextualSpacing/>
              <w:rPr>
                <w:rFonts w:ascii="Times New Roman" w:hAnsi="Times New Roman" w:cs="Times New Roman"/>
                <w:sz w:val="24"/>
                <w:szCs w:val="24"/>
              </w:rPr>
            </w:pPr>
            <w:r>
              <w:rPr>
                <w:rFonts w:ascii="Times New Roman" w:hAnsi="Times New Roman" w:cs="Times New Roman"/>
                <w:sz w:val="24"/>
                <w:szCs w:val="24"/>
              </w:rPr>
              <w:lastRenderedPageBreak/>
              <w:t>Diversity plan</w:t>
            </w:r>
          </w:p>
        </w:tc>
        <w:tc>
          <w:tcPr>
            <w:tcW w:w="2303" w:type="dxa"/>
          </w:tcPr>
          <w:p w14:paraId="15069671" w14:textId="77777777" w:rsidR="00FD5354" w:rsidRPr="009F4983" w:rsidRDefault="00FD5354" w:rsidP="00B86642">
            <w:pPr>
              <w:tabs>
                <w:tab w:val="right" w:pos="2397"/>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4983">
              <w:rPr>
                <w:rFonts w:ascii="Times New Roman" w:hAnsi="Times New Roman" w:cs="Times New Roman"/>
                <w:sz w:val="24"/>
                <w:szCs w:val="24"/>
              </w:rPr>
              <w:t>Regulat</w:t>
            </w:r>
            <w:r>
              <w:rPr>
                <w:rFonts w:ascii="Times New Roman" w:hAnsi="Times New Roman" w:cs="Times New Roman"/>
                <w:sz w:val="24"/>
                <w:szCs w:val="24"/>
              </w:rPr>
              <w:t>ory</w:t>
            </w:r>
          </w:p>
          <w:p w14:paraId="38C62F37" w14:textId="77777777" w:rsidR="00FD5354" w:rsidRPr="009F4983" w:rsidRDefault="00E1696F" w:rsidP="00B86642">
            <w:pPr>
              <w:tabs>
                <w:tab w:val="right" w:pos="2397"/>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3" w:history="1">
              <w:r w:rsidR="00FD5354" w:rsidRPr="0096179F">
                <w:rPr>
                  <w:rStyle w:val="Hyperlink"/>
                  <w:rFonts w:ascii="Times New Roman" w:hAnsi="Times New Roman" w:cs="Times New Roman"/>
                  <w:sz w:val="24"/>
                  <w:szCs w:val="24"/>
                </w:rPr>
                <w:t>935 CMR 500.101(e)</w:t>
              </w:r>
            </w:hyperlink>
          </w:p>
        </w:tc>
        <w:tc>
          <w:tcPr>
            <w:tcW w:w="4052" w:type="dxa"/>
          </w:tcPr>
          <w:p w14:paraId="260E135E" w14:textId="77777777" w:rsidR="00FD5354" w:rsidRPr="00451F37" w:rsidRDefault="00FD5354" w:rsidP="00B86642">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Regulation requires c</w:t>
            </w:r>
            <w:r w:rsidRPr="00451F37">
              <w:rPr>
                <w:rFonts w:ascii="Times New Roman" w:hAnsi="Times New Roman" w:cs="Times New Roman"/>
                <w:sz w:val="24"/>
                <w:szCs w:val="24"/>
              </w:rPr>
              <w:t xml:space="preserve">annabis </w:t>
            </w:r>
            <w:r>
              <w:rPr>
                <w:rFonts w:ascii="Times New Roman" w:hAnsi="Times New Roman" w:cs="Times New Roman"/>
                <w:sz w:val="24"/>
                <w:szCs w:val="24"/>
              </w:rPr>
              <w:t>e</w:t>
            </w:r>
            <w:r w:rsidRPr="00451F37">
              <w:rPr>
                <w:rFonts w:ascii="Times New Roman" w:hAnsi="Times New Roman" w:cs="Times New Roman"/>
                <w:sz w:val="24"/>
                <w:szCs w:val="24"/>
              </w:rPr>
              <w:t xml:space="preserve">stablishments </w:t>
            </w:r>
            <w:r>
              <w:rPr>
                <w:rFonts w:ascii="Times New Roman" w:hAnsi="Times New Roman" w:cs="Times New Roman"/>
                <w:sz w:val="24"/>
                <w:szCs w:val="24"/>
              </w:rPr>
              <w:t>to</w:t>
            </w:r>
            <w:r w:rsidRPr="00451F37">
              <w:rPr>
                <w:rFonts w:ascii="Times New Roman" w:hAnsi="Times New Roman" w:cs="Times New Roman"/>
                <w:sz w:val="24"/>
                <w:szCs w:val="24"/>
              </w:rPr>
              <w:t xml:space="preserve"> submit, as a part of licensure, </w:t>
            </w:r>
            <w:r>
              <w:rPr>
                <w:rFonts w:ascii="Times New Roman" w:hAnsi="Times New Roman" w:cs="Times New Roman"/>
                <w:sz w:val="24"/>
                <w:szCs w:val="24"/>
              </w:rPr>
              <w:t xml:space="preserve">a plan </w:t>
            </w:r>
            <w:r w:rsidRPr="00451F37">
              <w:rPr>
                <w:rFonts w:ascii="Times New Roman" w:hAnsi="Times New Roman" w:cs="Times New Roman"/>
                <w:sz w:val="24"/>
                <w:szCs w:val="24"/>
              </w:rPr>
              <w:t>“to promote equity among minorities, women, Veterans, people</w:t>
            </w:r>
            <w:r>
              <w:rPr>
                <w:rFonts w:ascii="Times New Roman" w:hAnsi="Times New Roman" w:cs="Times New Roman"/>
                <w:sz w:val="24"/>
                <w:szCs w:val="24"/>
              </w:rPr>
              <w:t xml:space="preserve"> </w:t>
            </w:r>
            <w:r w:rsidRPr="00451F37">
              <w:rPr>
                <w:rFonts w:ascii="Times New Roman" w:hAnsi="Times New Roman" w:cs="Times New Roman"/>
                <w:sz w:val="24"/>
                <w:szCs w:val="24"/>
              </w:rPr>
              <w:t>with disabilities, and people of all gender identities and sexual orientation.” Plans must include measures to assess their success.</w:t>
            </w:r>
          </w:p>
        </w:tc>
      </w:tr>
      <w:tr w:rsidR="00FD5354" w:rsidRPr="009B5372" w14:paraId="09B99A3D" w14:textId="77777777" w:rsidTr="00B86642">
        <w:trPr>
          <w:trHeight w:val="601"/>
        </w:trPr>
        <w:tc>
          <w:tcPr>
            <w:cnfStyle w:val="001000000000" w:firstRow="0" w:lastRow="0" w:firstColumn="1" w:lastColumn="0" w:oddVBand="0" w:evenVBand="0" w:oddHBand="0" w:evenHBand="0" w:firstRowFirstColumn="0" w:firstRowLastColumn="0" w:lastRowFirstColumn="0" w:lastRowLastColumn="0"/>
            <w:tcW w:w="3291" w:type="dxa"/>
          </w:tcPr>
          <w:p w14:paraId="6527BDFA" w14:textId="77777777" w:rsidR="00FD5354" w:rsidRDefault="00FD5354" w:rsidP="00B86642">
            <w:pPr>
              <w:contextualSpacing/>
              <w:rPr>
                <w:rFonts w:ascii="Times New Roman" w:hAnsi="Times New Roman" w:cs="Times New Roman"/>
                <w:sz w:val="24"/>
                <w:szCs w:val="24"/>
              </w:rPr>
            </w:pPr>
            <w:r>
              <w:rPr>
                <w:rFonts w:ascii="Times New Roman" w:hAnsi="Times New Roman" w:cs="Times New Roman"/>
                <w:sz w:val="24"/>
                <w:szCs w:val="24"/>
              </w:rPr>
              <w:t>Positive impact plan</w:t>
            </w:r>
          </w:p>
        </w:tc>
        <w:tc>
          <w:tcPr>
            <w:tcW w:w="2303" w:type="dxa"/>
          </w:tcPr>
          <w:p w14:paraId="40B0123C" w14:textId="77777777" w:rsidR="00FD5354" w:rsidRPr="009F4983" w:rsidRDefault="00FD5354" w:rsidP="00B866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4983">
              <w:rPr>
                <w:rFonts w:ascii="Times New Roman" w:hAnsi="Times New Roman" w:cs="Times New Roman"/>
                <w:sz w:val="24"/>
                <w:szCs w:val="24"/>
              </w:rPr>
              <w:t xml:space="preserve">Regulatory </w:t>
            </w:r>
          </w:p>
          <w:p w14:paraId="3DB86FA6" w14:textId="77777777" w:rsidR="00FD5354" w:rsidRPr="009F4983" w:rsidRDefault="00E1696F" w:rsidP="00B866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4" w:history="1">
              <w:r w:rsidR="00FD5354" w:rsidRPr="0096179F">
                <w:rPr>
                  <w:rStyle w:val="Hyperlink"/>
                  <w:rFonts w:ascii="Times New Roman" w:hAnsi="Times New Roman" w:cs="Times New Roman"/>
                  <w:sz w:val="24"/>
                  <w:szCs w:val="24"/>
                </w:rPr>
                <w:t>935 CMR 500.101(1)(a</w:t>
              </w:r>
            </w:hyperlink>
            <w:r w:rsidR="00FD5354">
              <w:rPr>
                <w:rStyle w:val="Hyperlink"/>
                <w:rFonts w:ascii="Times New Roman" w:hAnsi="Times New Roman" w:cs="Times New Roman"/>
                <w:sz w:val="24"/>
                <w:szCs w:val="24"/>
              </w:rPr>
              <w:t>)</w:t>
            </w:r>
          </w:p>
        </w:tc>
        <w:tc>
          <w:tcPr>
            <w:tcW w:w="4052" w:type="dxa"/>
          </w:tcPr>
          <w:p w14:paraId="67A003B3" w14:textId="77777777" w:rsidR="00FD5354" w:rsidRDefault="00FD5354" w:rsidP="00B866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Regulation requires c</w:t>
            </w:r>
            <w:r w:rsidRPr="00451F37">
              <w:rPr>
                <w:rFonts w:ascii="Times New Roman" w:hAnsi="Times New Roman" w:cs="Times New Roman"/>
                <w:sz w:val="24"/>
                <w:szCs w:val="24"/>
              </w:rPr>
              <w:t xml:space="preserve">annabis </w:t>
            </w:r>
            <w:r>
              <w:rPr>
                <w:rFonts w:ascii="Times New Roman" w:hAnsi="Times New Roman" w:cs="Times New Roman"/>
                <w:sz w:val="24"/>
                <w:szCs w:val="24"/>
              </w:rPr>
              <w:t>e</w:t>
            </w:r>
            <w:r w:rsidRPr="00451F37">
              <w:rPr>
                <w:rFonts w:ascii="Times New Roman" w:hAnsi="Times New Roman" w:cs="Times New Roman"/>
                <w:sz w:val="24"/>
                <w:szCs w:val="24"/>
              </w:rPr>
              <w:t xml:space="preserve">stablishments </w:t>
            </w:r>
            <w:r>
              <w:rPr>
                <w:rFonts w:ascii="Times New Roman" w:hAnsi="Times New Roman" w:cs="Times New Roman"/>
                <w:sz w:val="24"/>
                <w:szCs w:val="24"/>
              </w:rPr>
              <w:t>to</w:t>
            </w:r>
            <w:r w:rsidRPr="00451F37">
              <w:rPr>
                <w:rFonts w:ascii="Times New Roman" w:hAnsi="Times New Roman" w:cs="Times New Roman"/>
                <w:sz w:val="24"/>
                <w:szCs w:val="24"/>
              </w:rPr>
              <w:t xml:space="preserve"> submit, as a part of licensure, </w:t>
            </w:r>
            <w:r>
              <w:rPr>
                <w:rFonts w:ascii="Times New Roman" w:hAnsi="Times New Roman" w:cs="Times New Roman"/>
                <w:sz w:val="24"/>
                <w:szCs w:val="24"/>
              </w:rPr>
              <w:t>a plan to positively affect people or communities which fall into one or more the five groups:</w:t>
            </w:r>
          </w:p>
          <w:p w14:paraId="00BAE66A" w14:textId="77777777" w:rsidR="00FD5354" w:rsidRDefault="00FD5354" w:rsidP="00B866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(1) </w:t>
            </w:r>
            <w:r w:rsidRPr="00941E68">
              <w:rPr>
                <w:rFonts w:ascii="Times New Roman" w:hAnsi="Times New Roman" w:cs="Times New Roman"/>
                <w:sz w:val="24"/>
                <w:szCs w:val="24"/>
              </w:rPr>
              <w:t xml:space="preserve">Past or present residents of defined geographic </w:t>
            </w:r>
            <w:r>
              <w:rPr>
                <w:rFonts w:ascii="Times New Roman" w:hAnsi="Times New Roman" w:cs="Times New Roman"/>
                <w:sz w:val="24"/>
                <w:szCs w:val="24"/>
              </w:rPr>
              <w:t>A</w:t>
            </w:r>
            <w:r w:rsidRPr="00941E68">
              <w:rPr>
                <w:rFonts w:ascii="Times New Roman" w:hAnsi="Times New Roman" w:cs="Times New Roman"/>
                <w:sz w:val="24"/>
                <w:szCs w:val="24"/>
              </w:rPr>
              <w:t xml:space="preserve">reas of </w:t>
            </w:r>
            <w:r>
              <w:rPr>
                <w:rFonts w:ascii="Times New Roman" w:hAnsi="Times New Roman" w:cs="Times New Roman"/>
                <w:sz w:val="24"/>
                <w:szCs w:val="24"/>
              </w:rPr>
              <w:t>D</w:t>
            </w:r>
            <w:r w:rsidRPr="00941E68">
              <w:rPr>
                <w:rFonts w:ascii="Times New Roman" w:hAnsi="Times New Roman" w:cs="Times New Roman"/>
                <w:sz w:val="24"/>
                <w:szCs w:val="24"/>
              </w:rPr>
              <w:t xml:space="preserve">isproportionate </w:t>
            </w:r>
            <w:r>
              <w:rPr>
                <w:rFonts w:ascii="Times New Roman" w:hAnsi="Times New Roman" w:cs="Times New Roman"/>
                <w:sz w:val="24"/>
                <w:szCs w:val="24"/>
              </w:rPr>
              <w:t>I</w:t>
            </w:r>
            <w:r w:rsidRPr="00941E68">
              <w:rPr>
                <w:rFonts w:ascii="Times New Roman" w:hAnsi="Times New Roman" w:cs="Times New Roman"/>
                <w:sz w:val="24"/>
                <w:szCs w:val="24"/>
              </w:rPr>
              <w:t>mpact</w:t>
            </w:r>
            <w:r>
              <w:rPr>
                <w:rFonts w:ascii="Times New Roman" w:hAnsi="Times New Roman" w:cs="Times New Roman"/>
                <w:sz w:val="24"/>
                <w:szCs w:val="24"/>
              </w:rPr>
              <w:t xml:space="preserve"> [DIA]</w:t>
            </w:r>
            <w:r w:rsidRPr="00941E68">
              <w:rPr>
                <w:rFonts w:ascii="Times New Roman" w:hAnsi="Times New Roman" w:cs="Times New Roman"/>
                <w:sz w:val="24"/>
                <w:szCs w:val="24"/>
              </w:rPr>
              <w:t xml:space="preserve">; (2) Participants in Economic Empowerment Priority program; </w:t>
            </w:r>
          </w:p>
          <w:p w14:paraId="1D2611B4" w14:textId="77777777" w:rsidR="00FD5354" w:rsidRDefault="00FD5354" w:rsidP="00B866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41E68">
              <w:rPr>
                <w:rFonts w:ascii="Times New Roman" w:hAnsi="Times New Roman" w:cs="Times New Roman"/>
                <w:sz w:val="24"/>
                <w:szCs w:val="24"/>
              </w:rPr>
              <w:t xml:space="preserve">(3) Participants in Social Equity Program; </w:t>
            </w:r>
          </w:p>
          <w:p w14:paraId="5881EBC6" w14:textId="77777777" w:rsidR="00FD5354" w:rsidRDefault="00FD5354" w:rsidP="00B866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41E68">
              <w:rPr>
                <w:rFonts w:ascii="Times New Roman" w:hAnsi="Times New Roman" w:cs="Times New Roman"/>
                <w:sz w:val="24"/>
                <w:szCs w:val="24"/>
              </w:rPr>
              <w:t xml:space="preserve">(4) Massachusetts residents with past drug convictions; and </w:t>
            </w:r>
          </w:p>
          <w:p w14:paraId="0B3EF7EB" w14:textId="77777777" w:rsidR="00FD5354" w:rsidRDefault="00FD5354" w:rsidP="00B866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41E68">
              <w:rPr>
                <w:rFonts w:ascii="Times New Roman" w:hAnsi="Times New Roman" w:cs="Times New Roman"/>
                <w:sz w:val="24"/>
                <w:szCs w:val="24"/>
              </w:rPr>
              <w:t>(5) Massachusetts residents with parents or spouses with drug convictions</w:t>
            </w:r>
            <w:r>
              <w:rPr>
                <w:rFonts w:ascii="Times New Roman" w:hAnsi="Times New Roman" w:cs="Times New Roman"/>
                <w:sz w:val="24"/>
                <w:szCs w:val="24"/>
              </w:rPr>
              <w:t>.</w:t>
            </w:r>
          </w:p>
        </w:tc>
      </w:tr>
      <w:tr w:rsidR="00FD5354" w:rsidRPr="009B5372" w14:paraId="30995867" w14:textId="77777777" w:rsidTr="00B86642">
        <w:trPr>
          <w:cnfStyle w:val="000000100000" w:firstRow="0" w:lastRow="0" w:firstColumn="0" w:lastColumn="0" w:oddVBand="0" w:evenVBand="0" w:oddHBand="1" w:evenHBand="0" w:firstRowFirstColumn="0" w:firstRowLastColumn="0" w:lastRowFirstColumn="0" w:lastRowLastColumn="0"/>
          <w:trHeight w:val="1056"/>
        </w:trPr>
        <w:tc>
          <w:tcPr>
            <w:cnfStyle w:val="001000000000" w:firstRow="0" w:lastRow="0" w:firstColumn="1" w:lastColumn="0" w:oddVBand="0" w:evenVBand="0" w:oddHBand="0" w:evenHBand="0" w:firstRowFirstColumn="0" w:firstRowLastColumn="0" w:lastRowFirstColumn="0" w:lastRowLastColumn="0"/>
            <w:tcW w:w="3291" w:type="dxa"/>
          </w:tcPr>
          <w:p w14:paraId="3CEF4B89" w14:textId="77777777" w:rsidR="00FD5354" w:rsidRDefault="00FD5354" w:rsidP="00B86642">
            <w:pPr>
              <w:contextualSpacing/>
              <w:rPr>
                <w:rFonts w:ascii="Times New Roman" w:hAnsi="Times New Roman" w:cs="Times New Roman"/>
                <w:b w:val="0"/>
                <w:bCs w:val="0"/>
                <w:sz w:val="24"/>
                <w:szCs w:val="24"/>
              </w:rPr>
            </w:pPr>
            <w:r>
              <w:rPr>
                <w:rFonts w:ascii="Times New Roman" w:hAnsi="Times New Roman" w:cs="Times New Roman"/>
                <w:sz w:val="24"/>
                <w:szCs w:val="24"/>
              </w:rPr>
              <w:t>Disproportionately Impacted Areas (DIA)</w:t>
            </w:r>
          </w:p>
          <w:p w14:paraId="68E6E82C" w14:textId="77777777" w:rsidR="00FD5354" w:rsidRDefault="00FD5354" w:rsidP="00B86642">
            <w:pPr>
              <w:contextualSpacing/>
              <w:rPr>
                <w:rFonts w:ascii="Times New Roman" w:hAnsi="Times New Roman" w:cs="Times New Roman"/>
                <w:b w:val="0"/>
                <w:bCs w:val="0"/>
                <w:sz w:val="24"/>
                <w:szCs w:val="24"/>
              </w:rPr>
            </w:pPr>
          </w:p>
          <w:p w14:paraId="43BEB801" w14:textId="77777777" w:rsidR="00773D6D" w:rsidRDefault="00773D6D" w:rsidP="00B86642">
            <w:pPr>
              <w:contextualSpacing/>
              <w:rPr>
                <w:rFonts w:ascii="Times New Roman" w:hAnsi="Times New Roman" w:cs="Times New Roman"/>
                <w:b w:val="0"/>
                <w:bCs w:val="0"/>
                <w:sz w:val="24"/>
                <w:szCs w:val="24"/>
              </w:rPr>
            </w:pPr>
          </w:p>
          <w:p w14:paraId="37B20C8D" w14:textId="0A5C0401" w:rsidR="00773D6D" w:rsidRDefault="00773D6D" w:rsidP="00B86642">
            <w:pPr>
              <w:contextualSpacing/>
              <w:rPr>
                <w:rFonts w:ascii="Times New Roman" w:hAnsi="Times New Roman" w:cs="Times New Roman"/>
                <w:b w:val="0"/>
                <w:bCs w:val="0"/>
                <w:sz w:val="24"/>
                <w:szCs w:val="24"/>
              </w:rPr>
            </w:pPr>
          </w:p>
          <w:p w14:paraId="305EBB8D" w14:textId="5CBC1D04" w:rsidR="00773D6D" w:rsidRPr="00CB155B" w:rsidRDefault="00773D6D" w:rsidP="00B86642">
            <w:pPr>
              <w:contextualSpacing/>
              <w:rPr>
                <w:rFonts w:ascii="Times New Roman" w:hAnsi="Times New Roman" w:cs="Times New Roman"/>
                <w:sz w:val="24"/>
                <w:szCs w:val="24"/>
              </w:rPr>
            </w:pPr>
          </w:p>
        </w:tc>
        <w:tc>
          <w:tcPr>
            <w:tcW w:w="2303" w:type="dxa"/>
          </w:tcPr>
          <w:p w14:paraId="3D4DDC33" w14:textId="77777777" w:rsidR="00FD5354" w:rsidRDefault="00FD5354" w:rsidP="00B86642">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Regulatory</w:t>
            </w:r>
          </w:p>
          <w:p w14:paraId="6F057168" w14:textId="77777777" w:rsidR="00FD5354" w:rsidRDefault="00E1696F" w:rsidP="00B86642">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5" w:history="1">
              <w:r w:rsidR="00FD5354" w:rsidRPr="0096179F">
                <w:rPr>
                  <w:rStyle w:val="Hyperlink"/>
                  <w:rFonts w:ascii="Times New Roman" w:hAnsi="Times New Roman" w:cs="Times New Roman"/>
                  <w:sz w:val="24"/>
                  <w:szCs w:val="24"/>
                </w:rPr>
                <w:t>See definition section.</w:t>
              </w:r>
            </w:hyperlink>
          </w:p>
        </w:tc>
        <w:tc>
          <w:tcPr>
            <w:tcW w:w="4052" w:type="dxa"/>
          </w:tcPr>
          <w:p w14:paraId="3EDC9DAA" w14:textId="77777777" w:rsidR="00FD5354" w:rsidRDefault="00FD5354" w:rsidP="00B86642">
            <w:pPr>
              <w:contextualSpacing/>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sz w:val="24"/>
                <w:szCs w:val="24"/>
              </w:rPr>
              <w:t>Regulation defines g</w:t>
            </w:r>
            <w:r w:rsidRPr="17880D16">
              <w:rPr>
                <w:rFonts w:ascii="Times New Roman" w:eastAsia="Times New Roman" w:hAnsi="Times New Roman" w:cs="Times New Roman"/>
                <w:sz w:val="24"/>
                <w:szCs w:val="24"/>
              </w:rPr>
              <w:t>eographic are</w:t>
            </w:r>
            <w:r>
              <w:rPr>
                <w:rFonts w:ascii="Times New Roman" w:eastAsia="Times New Roman" w:hAnsi="Times New Roman" w:cs="Times New Roman"/>
                <w:sz w:val="24"/>
                <w:szCs w:val="24"/>
              </w:rPr>
              <w:t>as</w:t>
            </w:r>
            <w:r w:rsidRPr="17880D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17880D16">
              <w:rPr>
                <w:rFonts w:ascii="Times New Roman" w:eastAsia="Times New Roman" w:hAnsi="Times New Roman" w:cs="Times New Roman"/>
                <w:sz w:val="24"/>
                <w:szCs w:val="24"/>
              </w:rPr>
              <w:t xml:space="preserve">which has had historically high rates of arrest, conviction, and incarceration related to </w:t>
            </w:r>
            <w:r>
              <w:rPr>
                <w:rFonts w:ascii="Times New Roman" w:eastAsia="Times New Roman" w:hAnsi="Times New Roman" w:cs="Times New Roman"/>
                <w:sz w:val="24"/>
                <w:szCs w:val="24"/>
              </w:rPr>
              <w:t xml:space="preserve">marijuana” in order to encourage participation and inclusion of people in these communities. </w:t>
            </w:r>
          </w:p>
        </w:tc>
      </w:tr>
      <w:tr w:rsidR="00FD5354" w:rsidRPr="009B5372" w14:paraId="6DF667E3" w14:textId="77777777" w:rsidTr="00B86642">
        <w:trPr>
          <w:trHeight w:val="1056"/>
        </w:trPr>
        <w:tc>
          <w:tcPr>
            <w:cnfStyle w:val="001000000000" w:firstRow="0" w:lastRow="0" w:firstColumn="1" w:lastColumn="0" w:oddVBand="0" w:evenVBand="0" w:oddHBand="0" w:evenHBand="0" w:firstRowFirstColumn="0" w:firstRowLastColumn="0" w:lastRowFirstColumn="0" w:lastRowLastColumn="0"/>
            <w:tcW w:w="3291" w:type="dxa"/>
          </w:tcPr>
          <w:p w14:paraId="69EEB854" w14:textId="77777777" w:rsidR="00FD5354" w:rsidRDefault="00FD5354" w:rsidP="00B86642">
            <w:pPr>
              <w:contextualSpacing/>
              <w:rPr>
                <w:rFonts w:ascii="Times New Roman" w:hAnsi="Times New Roman" w:cs="Times New Roman"/>
                <w:b w:val="0"/>
                <w:bCs w:val="0"/>
                <w:sz w:val="24"/>
                <w:szCs w:val="24"/>
              </w:rPr>
            </w:pPr>
            <w:r>
              <w:rPr>
                <w:rFonts w:ascii="Times New Roman" w:hAnsi="Times New Roman" w:cs="Times New Roman"/>
                <w:sz w:val="24"/>
                <w:szCs w:val="24"/>
              </w:rPr>
              <w:t xml:space="preserve">Economic Empowerment Priority Review </w:t>
            </w:r>
          </w:p>
          <w:p w14:paraId="05E13280" w14:textId="310A7685" w:rsidR="00FD5354" w:rsidRPr="00185940" w:rsidRDefault="00FD5354" w:rsidP="00B86642">
            <w:pPr>
              <w:contextualSpacing/>
              <w:rPr>
                <w:rFonts w:ascii="Times New Roman" w:hAnsi="Times New Roman" w:cs="Times New Roman"/>
                <w:b w:val="0"/>
                <w:bCs w:val="0"/>
                <w:sz w:val="24"/>
                <w:szCs w:val="24"/>
              </w:rPr>
            </w:pPr>
            <w:r w:rsidRPr="00212231">
              <w:rPr>
                <w:rFonts w:ascii="Times New Roman" w:hAnsi="Times New Roman" w:cs="Times New Roman"/>
                <w:sz w:val="24"/>
                <w:szCs w:val="24"/>
              </w:rPr>
              <w:t xml:space="preserve">Implemented </w:t>
            </w:r>
            <w:r w:rsidR="00212231" w:rsidRPr="00212231">
              <w:rPr>
                <w:rFonts w:ascii="Times New Roman" w:hAnsi="Times New Roman" w:cs="Times New Roman"/>
                <w:sz w:val="24"/>
                <w:szCs w:val="24"/>
              </w:rPr>
              <w:t>April</w:t>
            </w:r>
            <w:r w:rsidR="00773D6D">
              <w:rPr>
                <w:rFonts w:ascii="Times New Roman" w:hAnsi="Times New Roman" w:cs="Times New Roman"/>
                <w:b w:val="0"/>
                <w:bCs w:val="0"/>
                <w:sz w:val="24"/>
                <w:szCs w:val="24"/>
              </w:rPr>
              <w:t xml:space="preserve"> </w:t>
            </w:r>
            <w:r w:rsidR="00212231" w:rsidRPr="00212231">
              <w:rPr>
                <w:rFonts w:ascii="Times New Roman" w:hAnsi="Times New Roman" w:cs="Times New Roman"/>
                <w:sz w:val="24"/>
                <w:szCs w:val="24"/>
              </w:rPr>
              <w:t>2018</w:t>
            </w:r>
          </w:p>
        </w:tc>
        <w:tc>
          <w:tcPr>
            <w:tcW w:w="2303" w:type="dxa"/>
          </w:tcPr>
          <w:p w14:paraId="2B5B0C21" w14:textId="77777777" w:rsidR="00FD5354" w:rsidRDefault="00FD5354" w:rsidP="00B866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Regulatory</w:t>
            </w:r>
          </w:p>
          <w:p w14:paraId="5EED073B" w14:textId="77777777" w:rsidR="00FD5354" w:rsidRDefault="00E1696F" w:rsidP="00B866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6" w:history="1">
              <w:r w:rsidR="00FD5354" w:rsidRPr="007158C7">
                <w:rPr>
                  <w:rStyle w:val="Hyperlink"/>
                  <w:rFonts w:ascii="Times New Roman" w:hAnsi="Times New Roman" w:cs="Times New Roman"/>
                  <w:sz w:val="24"/>
                  <w:szCs w:val="24"/>
                </w:rPr>
                <w:t>See regulatory guidance.</w:t>
              </w:r>
            </w:hyperlink>
          </w:p>
        </w:tc>
        <w:tc>
          <w:tcPr>
            <w:tcW w:w="4052" w:type="dxa"/>
          </w:tcPr>
          <w:p w14:paraId="463B59F2" w14:textId="77777777" w:rsidR="00FD5354" w:rsidRDefault="00FD5354" w:rsidP="00B86642">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This certification gives priority license review, fee waivers, and reductions for certificate holders (n=122 certificate holders). The program was aimed at people in senior levels. The deadline to apply is over (4/2/2018-4/16/2018).</w:t>
            </w:r>
          </w:p>
        </w:tc>
      </w:tr>
      <w:tr w:rsidR="00FD5354" w:rsidRPr="009B5372" w14:paraId="28585873" w14:textId="77777777" w:rsidTr="00B86642">
        <w:trPr>
          <w:cnfStyle w:val="000000100000" w:firstRow="0" w:lastRow="0" w:firstColumn="0" w:lastColumn="0" w:oddVBand="0" w:evenVBand="0" w:oddHBand="1" w:evenHBand="0" w:firstRowFirstColumn="0" w:firstRowLastColumn="0" w:lastRowFirstColumn="0" w:lastRowLastColumn="0"/>
          <w:trHeight w:val="1056"/>
        </w:trPr>
        <w:tc>
          <w:tcPr>
            <w:cnfStyle w:val="001000000000" w:firstRow="0" w:lastRow="0" w:firstColumn="1" w:lastColumn="0" w:oddVBand="0" w:evenVBand="0" w:oddHBand="0" w:evenHBand="0" w:firstRowFirstColumn="0" w:firstRowLastColumn="0" w:lastRowFirstColumn="0" w:lastRowLastColumn="0"/>
            <w:tcW w:w="3291" w:type="dxa"/>
          </w:tcPr>
          <w:p w14:paraId="59E124D6" w14:textId="77777777" w:rsidR="00FD5354" w:rsidRDefault="00FD5354" w:rsidP="00B86642">
            <w:pPr>
              <w:contextualSpacing/>
              <w:rPr>
                <w:rFonts w:ascii="Times New Roman" w:hAnsi="Times New Roman" w:cs="Times New Roman"/>
                <w:b w:val="0"/>
                <w:bCs w:val="0"/>
                <w:sz w:val="24"/>
                <w:szCs w:val="24"/>
              </w:rPr>
            </w:pPr>
            <w:r>
              <w:rPr>
                <w:rFonts w:ascii="Times New Roman" w:hAnsi="Times New Roman" w:cs="Times New Roman"/>
                <w:sz w:val="24"/>
                <w:szCs w:val="24"/>
              </w:rPr>
              <w:t>Social Equity Program</w:t>
            </w:r>
          </w:p>
          <w:p w14:paraId="20FC5A8A" w14:textId="5DE3C814" w:rsidR="00FD5354" w:rsidRPr="00185940" w:rsidRDefault="00212231" w:rsidP="00B86642">
            <w:pPr>
              <w:contextualSpacing/>
              <w:rPr>
                <w:rFonts w:ascii="Times New Roman" w:hAnsi="Times New Roman" w:cs="Times New Roman"/>
                <w:b w:val="0"/>
                <w:bCs w:val="0"/>
                <w:sz w:val="24"/>
                <w:szCs w:val="24"/>
              </w:rPr>
            </w:pPr>
            <w:r w:rsidRPr="00212231">
              <w:rPr>
                <w:rFonts w:ascii="Times New Roman" w:hAnsi="Times New Roman" w:cs="Times New Roman"/>
                <w:sz w:val="24"/>
                <w:szCs w:val="24"/>
              </w:rPr>
              <w:t>Codified in regulations November</w:t>
            </w:r>
            <w:r w:rsidR="00773D6D">
              <w:rPr>
                <w:rFonts w:ascii="Times New Roman" w:hAnsi="Times New Roman" w:cs="Times New Roman"/>
                <w:b w:val="0"/>
                <w:bCs w:val="0"/>
                <w:sz w:val="24"/>
                <w:szCs w:val="24"/>
              </w:rPr>
              <w:t xml:space="preserve"> </w:t>
            </w:r>
            <w:r w:rsidRPr="00212231">
              <w:rPr>
                <w:rFonts w:ascii="Times New Roman" w:hAnsi="Times New Roman" w:cs="Times New Roman"/>
                <w:sz w:val="24"/>
                <w:szCs w:val="24"/>
              </w:rPr>
              <w:t xml:space="preserve">2019 </w:t>
            </w:r>
            <w:r w:rsidR="00FD5354" w:rsidRPr="00212231">
              <w:rPr>
                <w:rFonts w:ascii="Times New Roman" w:hAnsi="Times New Roman" w:cs="Times New Roman"/>
                <w:sz w:val="24"/>
                <w:szCs w:val="24"/>
              </w:rPr>
              <w:t xml:space="preserve"> </w:t>
            </w:r>
          </w:p>
        </w:tc>
        <w:tc>
          <w:tcPr>
            <w:tcW w:w="2303" w:type="dxa"/>
          </w:tcPr>
          <w:p w14:paraId="0C2A2957" w14:textId="77777777" w:rsidR="00FD5354" w:rsidRDefault="00FD5354" w:rsidP="00B86642">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Regulatory</w:t>
            </w:r>
          </w:p>
          <w:p w14:paraId="4880B3D7" w14:textId="77777777" w:rsidR="00FD5354" w:rsidRDefault="00E1696F" w:rsidP="00B86642">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7" w:history="1">
              <w:r w:rsidR="00FD5354" w:rsidRPr="007158C7">
                <w:rPr>
                  <w:rStyle w:val="Hyperlink"/>
                  <w:rFonts w:ascii="Times New Roman" w:hAnsi="Times New Roman" w:cs="Times New Roman"/>
                  <w:sz w:val="24"/>
                  <w:szCs w:val="24"/>
                </w:rPr>
                <w:t>See regulatory guidance</w:t>
              </w:r>
            </w:hyperlink>
            <w:r w:rsidR="00FD5354">
              <w:rPr>
                <w:rStyle w:val="Hyperlink"/>
                <w:rFonts w:ascii="Times New Roman" w:hAnsi="Times New Roman" w:cs="Times New Roman"/>
                <w:sz w:val="24"/>
                <w:szCs w:val="24"/>
              </w:rPr>
              <w:t>.</w:t>
            </w:r>
          </w:p>
        </w:tc>
        <w:tc>
          <w:tcPr>
            <w:tcW w:w="4052" w:type="dxa"/>
          </w:tcPr>
          <w:p w14:paraId="0C8012A7" w14:textId="77777777" w:rsidR="00FD5354" w:rsidRDefault="00FD5354" w:rsidP="00B86642">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 xml:space="preserve">This ongoing program offers comprehensive training and technical assistance, including courses and hands-on assistance for all levels of seniority. A total of 143 participants </w:t>
            </w:r>
            <w:r>
              <w:rPr>
                <w:rFonts w:ascii="Times New Roman" w:hAnsi="Times New Roman" w:cs="Times New Roman"/>
                <w:sz w:val="24"/>
                <w:szCs w:val="24"/>
              </w:rPr>
              <w:lastRenderedPageBreak/>
              <w:t xml:space="preserve">participated in the program’s first cohort. Persons in the program also have fee waivers and reductions and receive expedited application review. For specific eligibility criteria see Regulatory Guidance. </w:t>
            </w:r>
          </w:p>
        </w:tc>
      </w:tr>
      <w:tr w:rsidR="00FD5354" w:rsidRPr="009B5372" w14:paraId="7049737A" w14:textId="77777777" w:rsidTr="00B86642">
        <w:trPr>
          <w:trHeight w:val="1056"/>
        </w:trPr>
        <w:tc>
          <w:tcPr>
            <w:cnfStyle w:val="001000000000" w:firstRow="0" w:lastRow="0" w:firstColumn="1" w:lastColumn="0" w:oddVBand="0" w:evenVBand="0" w:oddHBand="0" w:evenHBand="0" w:firstRowFirstColumn="0" w:firstRowLastColumn="0" w:lastRowFirstColumn="0" w:lastRowLastColumn="0"/>
            <w:tcW w:w="3291" w:type="dxa"/>
          </w:tcPr>
          <w:p w14:paraId="7BF82E35" w14:textId="77777777" w:rsidR="00FD5354" w:rsidRDefault="00FD5354" w:rsidP="00B86642">
            <w:pPr>
              <w:contextualSpacing/>
              <w:rPr>
                <w:rFonts w:ascii="Times New Roman" w:hAnsi="Times New Roman" w:cs="Times New Roman"/>
                <w:b w:val="0"/>
                <w:bCs w:val="0"/>
                <w:sz w:val="24"/>
                <w:szCs w:val="24"/>
              </w:rPr>
            </w:pPr>
            <w:r>
              <w:rPr>
                <w:rFonts w:ascii="Times New Roman" w:hAnsi="Times New Roman" w:cs="Times New Roman"/>
                <w:sz w:val="24"/>
                <w:szCs w:val="24"/>
              </w:rPr>
              <w:lastRenderedPageBreak/>
              <w:t>Expedited application review</w:t>
            </w:r>
          </w:p>
          <w:p w14:paraId="60460E10" w14:textId="2B6AABE8" w:rsidR="00FD5354" w:rsidRPr="00185940" w:rsidRDefault="00FD5354" w:rsidP="00B86642">
            <w:pPr>
              <w:contextualSpacing/>
              <w:rPr>
                <w:rFonts w:ascii="Times New Roman" w:hAnsi="Times New Roman" w:cs="Times New Roman"/>
                <w:b w:val="0"/>
                <w:bCs w:val="0"/>
                <w:sz w:val="24"/>
                <w:szCs w:val="24"/>
              </w:rPr>
            </w:pPr>
            <w:r w:rsidRPr="00212231">
              <w:rPr>
                <w:rFonts w:ascii="Times New Roman" w:hAnsi="Times New Roman" w:cs="Times New Roman"/>
                <w:sz w:val="24"/>
                <w:szCs w:val="24"/>
              </w:rPr>
              <w:t xml:space="preserve">Implemented </w:t>
            </w:r>
            <w:r w:rsidR="00212231" w:rsidRPr="00212231">
              <w:rPr>
                <w:rFonts w:ascii="Times New Roman" w:hAnsi="Times New Roman" w:cs="Times New Roman"/>
                <w:sz w:val="24"/>
                <w:szCs w:val="24"/>
              </w:rPr>
              <w:t>September 2019</w:t>
            </w:r>
          </w:p>
        </w:tc>
        <w:tc>
          <w:tcPr>
            <w:tcW w:w="2303" w:type="dxa"/>
          </w:tcPr>
          <w:p w14:paraId="7A96774B" w14:textId="77777777" w:rsidR="00FD5354" w:rsidRDefault="00FD5354" w:rsidP="00B866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2C55F6E9">
              <w:rPr>
                <w:rFonts w:ascii="Times New Roman" w:hAnsi="Times New Roman" w:cs="Times New Roman"/>
                <w:sz w:val="24"/>
                <w:szCs w:val="24"/>
              </w:rPr>
              <w:t>Regulatory</w:t>
            </w:r>
          </w:p>
          <w:p w14:paraId="796B5F45" w14:textId="77777777" w:rsidR="00FD5354" w:rsidRDefault="00E1696F" w:rsidP="00B866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8" w:history="1">
              <w:r w:rsidR="00FD5354" w:rsidRPr="00C04FFE">
                <w:rPr>
                  <w:rStyle w:val="Hyperlink"/>
                  <w:rFonts w:ascii="Times New Roman" w:hAnsi="Times New Roman" w:cs="Times New Roman"/>
                  <w:sz w:val="24"/>
                  <w:szCs w:val="24"/>
                </w:rPr>
                <w:t xml:space="preserve">See </w:t>
              </w:r>
              <w:r w:rsidR="00FD5354">
                <w:rPr>
                  <w:rStyle w:val="Hyperlink"/>
                  <w:rFonts w:ascii="Times New Roman" w:hAnsi="Times New Roman" w:cs="Times New Roman"/>
                  <w:sz w:val="24"/>
                  <w:szCs w:val="24"/>
                </w:rPr>
                <w:t xml:space="preserve">regulatory </w:t>
              </w:r>
              <w:r w:rsidR="00FD5354" w:rsidRPr="00C04FFE">
                <w:rPr>
                  <w:rStyle w:val="Hyperlink"/>
                  <w:rFonts w:ascii="Times New Roman" w:hAnsi="Times New Roman" w:cs="Times New Roman"/>
                  <w:sz w:val="24"/>
                  <w:szCs w:val="24"/>
                </w:rPr>
                <w:t>guidance</w:t>
              </w:r>
            </w:hyperlink>
            <w:r w:rsidR="00FD5354">
              <w:rPr>
                <w:rStyle w:val="Hyperlink"/>
                <w:rFonts w:ascii="Times New Roman" w:hAnsi="Times New Roman" w:cs="Times New Roman"/>
                <w:sz w:val="24"/>
                <w:szCs w:val="24"/>
              </w:rPr>
              <w:t>.</w:t>
            </w:r>
          </w:p>
        </w:tc>
        <w:tc>
          <w:tcPr>
            <w:tcW w:w="4052" w:type="dxa"/>
          </w:tcPr>
          <w:p w14:paraId="2732D0FB" w14:textId="77777777" w:rsidR="00FD5354" w:rsidRPr="00C04FFE" w:rsidRDefault="00FD5354" w:rsidP="00B866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4FFE">
              <w:rPr>
                <w:rFonts w:ascii="Times New Roman" w:hAnsi="Times New Roman" w:cs="Times New Roman"/>
                <w:sz w:val="24"/>
                <w:szCs w:val="24"/>
              </w:rPr>
              <w:t xml:space="preserve">After priority applicants, the </w:t>
            </w:r>
            <w:r>
              <w:rPr>
                <w:rFonts w:ascii="Times New Roman" w:hAnsi="Times New Roman" w:cs="Times New Roman"/>
                <w:sz w:val="24"/>
                <w:szCs w:val="24"/>
              </w:rPr>
              <w:t>Cannabis Control Commission</w:t>
            </w:r>
            <w:r w:rsidRPr="00C04FFE">
              <w:rPr>
                <w:rFonts w:ascii="Times New Roman" w:hAnsi="Times New Roman" w:cs="Times New Roman"/>
                <w:sz w:val="24"/>
                <w:szCs w:val="24"/>
              </w:rPr>
              <w:t xml:space="preserve"> review</w:t>
            </w:r>
            <w:r>
              <w:rPr>
                <w:rFonts w:ascii="Times New Roman" w:hAnsi="Times New Roman" w:cs="Times New Roman"/>
                <w:sz w:val="24"/>
                <w:szCs w:val="24"/>
              </w:rPr>
              <w:t>s</w:t>
            </w:r>
            <w:r w:rsidRPr="00C04FFE">
              <w:rPr>
                <w:rFonts w:ascii="Times New Roman" w:hAnsi="Times New Roman" w:cs="Times New Roman"/>
                <w:sz w:val="24"/>
                <w:szCs w:val="24"/>
              </w:rPr>
              <w:t xml:space="preserve"> expedited applications. These include those</w:t>
            </w:r>
            <w:r>
              <w:rPr>
                <w:rFonts w:ascii="Times New Roman" w:hAnsi="Times New Roman" w:cs="Times New Roman"/>
                <w:sz w:val="24"/>
                <w:szCs w:val="24"/>
              </w:rPr>
              <w:t xml:space="preserve"> applications from </w:t>
            </w:r>
            <w:r w:rsidRPr="00C04FFE">
              <w:rPr>
                <w:rFonts w:ascii="Times New Roman" w:hAnsi="Times New Roman" w:cs="Times New Roman"/>
                <w:sz w:val="24"/>
                <w:szCs w:val="24"/>
              </w:rPr>
              <w:t>Social</w:t>
            </w:r>
          </w:p>
          <w:p w14:paraId="6387EAD9" w14:textId="77777777" w:rsidR="00FD5354" w:rsidRDefault="00FD5354" w:rsidP="00B8664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4FFE">
              <w:rPr>
                <w:rFonts w:ascii="Times New Roman" w:hAnsi="Times New Roman" w:cs="Times New Roman"/>
                <w:sz w:val="24"/>
                <w:szCs w:val="24"/>
              </w:rPr>
              <w:t>Equity Participants, minority-owned businesses, women-owned businesses, and veteran-owned businesses, with certain restrictions.</w:t>
            </w:r>
          </w:p>
        </w:tc>
      </w:tr>
      <w:tr w:rsidR="00FD5354" w:rsidRPr="009B5372" w14:paraId="4B9B02A1" w14:textId="77777777" w:rsidTr="00B86642">
        <w:trPr>
          <w:cnfStyle w:val="000000100000" w:firstRow="0" w:lastRow="0" w:firstColumn="0" w:lastColumn="0" w:oddVBand="0" w:evenVBand="0" w:oddHBand="1"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3291" w:type="dxa"/>
          </w:tcPr>
          <w:p w14:paraId="4CDFF7B2" w14:textId="77777777" w:rsidR="00FD5354" w:rsidRDefault="00FD5354" w:rsidP="00B86642">
            <w:pPr>
              <w:contextualSpacing/>
              <w:rPr>
                <w:rFonts w:ascii="Times New Roman" w:hAnsi="Times New Roman" w:cs="Times New Roman"/>
                <w:sz w:val="24"/>
                <w:szCs w:val="24"/>
              </w:rPr>
            </w:pPr>
            <w:r>
              <w:rPr>
                <w:rFonts w:ascii="Times New Roman" w:hAnsi="Times New Roman" w:cs="Times New Roman"/>
                <w:sz w:val="24"/>
                <w:szCs w:val="24"/>
              </w:rPr>
              <w:t>Disadvantage Business Enterprises (DBE)</w:t>
            </w:r>
          </w:p>
        </w:tc>
        <w:tc>
          <w:tcPr>
            <w:tcW w:w="2303" w:type="dxa"/>
          </w:tcPr>
          <w:p w14:paraId="472E428D" w14:textId="77777777" w:rsidR="00FD5354" w:rsidRDefault="00FD5354" w:rsidP="00B86642">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Regulatory data collection</w:t>
            </w:r>
          </w:p>
        </w:tc>
        <w:tc>
          <w:tcPr>
            <w:tcW w:w="4052" w:type="dxa"/>
          </w:tcPr>
          <w:p w14:paraId="54BC01B9" w14:textId="77777777" w:rsidR="00FD5354" w:rsidRDefault="00FD5354" w:rsidP="00B86642">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The Cannabis Control Commission collects self-reported DBE-status for all licensees. See select open data here: </w:t>
            </w:r>
            <w:r w:rsidRPr="00BF2C58">
              <w:rPr>
                <w:rFonts w:ascii="Times New Roman" w:hAnsi="Times New Roman" w:cs="Times New Roman"/>
                <w:sz w:val="24"/>
                <w:szCs w:val="24"/>
              </w:rPr>
              <w:t>https://opendata.mass-cannabis-control.com/</w:t>
            </w:r>
          </w:p>
        </w:tc>
      </w:tr>
    </w:tbl>
    <w:p w14:paraId="14C0ADF6" w14:textId="3ED3C6DA" w:rsidR="00FD5354" w:rsidRDefault="00FD5354" w:rsidP="00FD5354">
      <w:pPr>
        <w:spacing w:line="240" w:lineRule="auto"/>
        <w:contextualSpacing/>
        <w:rPr>
          <w:rFonts w:ascii="Times New Roman" w:hAnsi="Times New Roman" w:cs="Times New Roman"/>
          <w:sz w:val="20"/>
          <w:szCs w:val="20"/>
        </w:rPr>
      </w:pPr>
      <w:r w:rsidRPr="2C55F6E9">
        <w:rPr>
          <w:rFonts w:ascii="Times New Roman" w:hAnsi="Times New Roman" w:cs="Times New Roman"/>
          <w:b/>
          <w:bCs/>
          <w:sz w:val="20"/>
          <w:szCs w:val="20"/>
        </w:rPr>
        <w:t>Note</w:t>
      </w:r>
      <w:r w:rsidRPr="2C55F6E9">
        <w:rPr>
          <w:rFonts w:ascii="Times New Roman" w:hAnsi="Times New Roman" w:cs="Times New Roman"/>
          <w:sz w:val="20"/>
          <w:szCs w:val="20"/>
        </w:rPr>
        <w:t xml:space="preserve">: </w:t>
      </w:r>
    </w:p>
    <w:p w14:paraId="2563E24E" w14:textId="5C21EE31" w:rsidR="001C5948" w:rsidRDefault="00FD5354" w:rsidP="005632E4">
      <w:pPr>
        <w:spacing w:line="240" w:lineRule="auto"/>
        <w:contextualSpacing/>
        <w:rPr>
          <w:rFonts w:ascii="Times New Roman" w:hAnsi="Times New Roman" w:cs="Times New Roman"/>
          <w:sz w:val="20"/>
          <w:szCs w:val="20"/>
        </w:rPr>
      </w:pPr>
      <w:r w:rsidRPr="2C55F6E9">
        <w:rPr>
          <w:rFonts w:ascii="Times New Roman" w:hAnsi="Times New Roman" w:cs="Times New Roman"/>
          <w:sz w:val="20"/>
          <w:szCs w:val="20"/>
        </w:rPr>
        <w:t>Table includes provisions related to equitable participation as of April 2020.</w:t>
      </w:r>
    </w:p>
    <w:p w14:paraId="1CBBC6AA" w14:textId="77777777" w:rsidR="005632E4" w:rsidRPr="005632E4" w:rsidRDefault="005632E4" w:rsidP="005632E4">
      <w:pPr>
        <w:spacing w:line="240" w:lineRule="auto"/>
        <w:contextualSpacing/>
        <w:rPr>
          <w:rFonts w:ascii="Times New Roman" w:hAnsi="Times New Roman" w:cs="Times New Roman"/>
          <w:sz w:val="20"/>
          <w:szCs w:val="20"/>
        </w:rPr>
      </w:pPr>
    </w:p>
    <w:p w14:paraId="03EDA155" w14:textId="31005F69" w:rsidR="001C5948" w:rsidRPr="00BC6705" w:rsidRDefault="001C5948" w:rsidP="001C5948">
      <w:pPr>
        <w:tabs>
          <w:tab w:val="left" w:pos="720"/>
        </w:tabs>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Table </w:t>
      </w:r>
      <w:r w:rsidR="0097535C">
        <w:rPr>
          <w:rFonts w:ascii="Times New Roman" w:hAnsi="Times New Roman" w:cs="Times New Roman"/>
          <w:b/>
          <w:bCs/>
          <w:sz w:val="24"/>
          <w:szCs w:val="24"/>
        </w:rPr>
        <w:t>B</w:t>
      </w:r>
      <w:r>
        <w:rPr>
          <w:rFonts w:ascii="Times New Roman" w:hAnsi="Times New Roman" w:cs="Times New Roman"/>
          <w:b/>
          <w:bCs/>
          <w:sz w:val="24"/>
          <w:szCs w:val="24"/>
        </w:rPr>
        <w:t>. Single Race Variable Inclusion Criteria</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7303"/>
      </w:tblGrid>
      <w:tr w:rsidR="001C5948" w14:paraId="5DBEF55C" w14:textId="77777777" w:rsidTr="00903182">
        <w:trPr>
          <w:trHeight w:val="635"/>
        </w:trPr>
        <w:tc>
          <w:tcPr>
            <w:tcW w:w="9674" w:type="dxa"/>
            <w:gridSpan w:val="2"/>
          </w:tcPr>
          <w:p w14:paraId="4E52E8EF" w14:textId="77777777" w:rsidR="001C5948" w:rsidRPr="00D445CC" w:rsidRDefault="001C5948" w:rsidP="00903182">
            <w:pPr>
              <w:tabs>
                <w:tab w:val="left" w:pos="720"/>
              </w:tabs>
              <w:contextualSpacing/>
              <w:rPr>
                <w:rFonts w:ascii="Times New Roman" w:hAnsi="Times New Roman" w:cs="Times New Roman"/>
                <w:b/>
                <w:bCs/>
                <w:sz w:val="24"/>
                <w:szCs w:val="24"/>
              </w:rPr>
            </w:pPr>
            <w:r>
              <w:rPr>
                <w:rFonts w:ascii="Times New Roman" w:hAnsi="Times New Roman" w:cs="Times New Roman"/>
                <w:b/>
                <w:bCs/>
                <w:sz w:val="24"/>
                <w:szCs w:val="24"/>
              </w:rPr>
              <w:t>Inclusion</w:t>
            </w:r>
            <w:r w:rsidRPr="00D445CC">
              <w:rPr>
                <w:rFonts w:ascii="Times New Roman" w:hAnsi="Times New Roman" w:cs="Times New Roman"/>
                <w:b/>
                <w:bCs/>
                <w:sz w:val="24"/>
                <w:szCs w:val="24"/>
              </w:rPr>
              <w:t xml:space="preserve"> Criteria</w:t>
            </w:r>
          </w:p>
        </w:tc>
      </w:tr>
      <w:tr w:rsidR="001C5948" w14:paraId="49561039" w14:textId="77777777" w:rsidTr="00903182">
        <w:trPr>
          <w:trHeight w:val="1106"/>
        </w:trPr>
        <w:tc>
          <w:tcPr>
            <w:tcW w:w="2371" w:type="dxa"/>
          </w:tcPr>
          <w:p w14:paraId="01D7B0C7" w14:textId="77777777" w:rsidR="001C5948" w:rsidRDefault="001C5948" w:rsidP="00903182">
            <w:pPr>
              <w:tabs>
                <w:tab w:val="left" w:pos="720"/>
              </w:tabs>
              <w:spacing w:line="480" w:lineRule="auto"/>
              <w:contextualSpacing/>
              <w:rPr>
                <w:rFonts w:ascii="Times New Roman" w:hAnsi="Times New Roman" w:cs="Times New Roman"/>
                <w:sz w:val="24"/>
                <w:szCs w:val="24"/>
              </w:rPr>
            </w:pPr>
            <w:r>
              <w:rPr>
                <w:rFonts w:ascii="Times New Roman" w:hAnsi="Times New Roman" w:cs="Times New Roman"/>
                <w:sz w:val="24"/>
                <w:szCs w:val="24"/>
              </w:rPr>
              <w:t>White</w:t>
            </w:r>
          </w:p>
        </w:tc>
        <w:tc>
          <w:tcPr>
            <w:tcW w:w="7303" w:type="dxa"/>
          </w:tcPr>
          <w:p w14:paraId="4AA57A6A" w14:textId="7659147C" w:rsidR="001C5948" w:rsidRPr="008B2943" w:rsidRDefault="001C5948" w:rsidP="00903182">
            <w:pPr>
              <w:tabs>
                <w:tab w:val="left" w:pos="720"/>
              </w:tabs>
              <w:contextualSpacing/>
              <w:rPr>
                <w:rFonts w:ascii="Times New Roman" w:hAnsi="Times New Roman" w:cs="Times New Roman"/>
                <w:sz w:val="24"/>
                <w:szCs w:val="24"/>
              </w:rPr>
            </w:pPr>
            <w:r w:rsidRPr="008B2943">
              <w:rPr>
                <w:rFonts w:ascii="Times New Roman" w:hAnsi="Times New Roman" w:cs="Times New Roman"/>
                <w:sz w:val="24"/>
                <w:szCs w:val="24"/>
              </w:rPr>
              <w:t xml:space="preserve">Indicated </w:t>
            </w:r>
            <w:r>
              <w:rPr>
                <w:rFonts w:ascii="Times New Roman" w:hAnsi="Times New Roman" w:cs="Times New Roman"/>
                <w:sz w:val="24"/>
                <w:szCs w:val="24"/>
              </w:rPr>
              <w:t>“</w:t>
            </w:r>
            <w:r w:rsidRPr="008B2943">
              <w:rPr>
                <w:rFonts w:ascii="Times New Roman" w:hAnsi="Times New Roman" w:cs="Times New Roman"/>
                <w:sz w:val="24"/>
                <w:szCs w:val="24"/>
              </w:rPr>
              <w:t>White</w:t>
            </w:r>
            <w:r>
              <w:rPr>
                <w:rFonts w:ascii="Times New Roman" w:hAnsi="Times New Roman" w:cs="Times New Roman"/>
                <w:sz w:val="24"/>
                <w:szCs w:val="24"/>
              </w:rPr>
              <w:t xml:space="preserve"> (German, Irish, English, Italian, Polish, French)”</w:t>
            </w:r>
            <w:r w:rsidRPr="008B2943">
              <w:rPr>
                <w:rFonts w:ascii="Times New Roman" w:hAnsi="Times New Roman" w:cs="Times New Roman"/>
                <w:sz w:val="24"/>
                <w:szCs w:val="24"/>
              </w:rPr>
              <w:t xml:space="preserve"> and never indicated “Hispanic,” “Black,” “Asian,” “American Indian,” “Middle Eastern,” “Native Hawaiian/Other Pacific Islander” in any registration forms OR indicated only White and “some other race” OR indicated only White and “decline to answer.” </w:t>
            </w:r>
          </w:p>
        </w:tc>
      </w:tr>
      <w:tr w:rsidR="001C5948" w14:paraId="1050DCD8" w14:textId="77777777" w:rsidTr="00903182">
        <w:trPr>
          <w:trHeight w:val="1413"/>
        </w:trPr>
        <w:tc>
          <w:tcPr>
            <w:tcW w:w="2371" w:type="dxa"/>
          </w:tcPr>
          <w:p w14:paraId="05B931C7" w14:textId="77777777" w:rsidR="001C5948" w:rsidRDefault="001C5948" w:rsidP="00903182">
            <w:pPr>
              <w:spacing w:line="480" w:lineRule="auto"/>
              <w:contextualSpacing/>
              <w:rPr>
                <w:rFonts w:ascii="Times New Roman" w:hAnsi="Times New Roman" w:cs="Times New Roman"/>
                <w:sz w:val="24"/>
                <w:szCs w:val="24"/>
              </w:rPr>
            </w:pPr>
            <w:r>
              <w:rPr>
                <w:rFonts w:ascii="Times New Roman" w:hAnsi="Times New Roman" w:cs="Times New Roman"/>
                <w:sz w:val="24"/>
                <w:szCs w:val="24"/>
              </w:rPr>
              <w:t>Latino</w:t>
            </w:r>
          </w:p>
        </w:tc>
        <w:tc>
          <w:tcPr>
            <w:tcW w:w="7303" w:type="dxa"/>
          </w:tcPr>
          <w:p w14:paraId="2CB75551" w14:textId="5273D4FA" w:rsidR="001C5948" w:rsidRPr="008B2943" w:rsidRDefault="001C5948" w:rsidP="00903182">
            <w:pPr>
              <w:contextualSpacing/>
              <w:rPr>
                <w:rFonts w:ascii="Times New Roman" w:hAnsi="Times New Roman" w:cs="Times New Roman"/>
                <w:sz w:val="24"/>
                <w:szCs w:val="24"/>
              </w:rPr>
            </w:pPr>
            <w:r w:rsidRPr="008B2943">
              <w:rPr>
                <w:rFonts w:ascii="Times New Roman" w:hAnsi="Times New Roman" w:cs="Times New Roman"/>
                <w:sz w:val="24"/>
                <w:szCs w:val="24"/>
              </w:rPr>
              <w:t xml:space="preserve">Indicated </w:t>
            </w:r>
            <w:r>
              <w:rPr>
                <w:rFonts w:ascii="Times New Roman" w:hAnsi="Times New Roman" w:cs="Times New Roman"/>
                <w:sz w:val="24"/>
                <w:szCs w:val="24"/>
              </w:rPr>
              <w:t>“</w:t>
            </w:r>
            <w:r w:rsidRPr="008B2943">
              <w:rPr>
                <w:rFonts w:ascii="Times New Roman" w:hAnsi="Times New Roman" w:cs="Times New Roman"/>
                <w:sz w:val="24"/>
                <w:szCs w:val="24"/>
              </w:rPr>
              <w:t>Hispanic</w:t>
            </w:r>
            <w:r>
              <w:rPr>
                <w:rFonts w:ascii="Times New Roman" w:hAnsi="Times New Roman" w:cs="Times New Roman"/>
                <w:sz w:val="24"/>
                <w:szCs w:val="24"/>
              </w:rPr>
              <w:t>, Latino, or Spanish (Mexican or Mexican American, Puerto Rican, Cuban, Salvadoran, Dominican, Columbian)”</w:t>
            </w:r>
            <w:r w:rsidRPr="008B2943">
              <w:rPr>
                <w:rFonts w:ascii="Times New Roman" w:hAnsi="Times New Roman" w:cs="Times New Roman"/>
                <w:sz w:val="24"/>
                <w:szCs w:val="24"/>
              </w:rPr>
              <w:t xml:space="preserve"> and never indicated “White,” “Black,” “Asian,” “American Indian,” “Middle Eastern,” “Native Hawaiian/Other Pacific Islander” in any registration forms OR indicated only Hispanic and “some other race” OR indicated only Hispanic and “decline to answer.” </w:t>
            </w:r>
          </w:p>
        </w:tc>
      </w:tr>
      <w:tr w:rsidR="001C5948" w14:paraId="78C8BF13" w14:textId="77777777" w:rsidTr="00903182">
        <w:trPr>
          <w:trHeight w:val="1393"/>
        </w:trPr>
        <w:tc>
          <w:tcPr>
            <w:tcW w:w="2371" w:type="dxa"/>
          </w:tcPr>
          <w:p w14:paraId="09350AD6" w14:textId="77777777" w:rsidR="001C5948" w:rsidRDefault="001C5948" w:rsidP="00903182">
            <w:pPr>
              <w:spacing w:line="480" w:lineRule="auto"/>
              <w:contextualSpacing/>
              <w:rPr>
                <w:rFonts w:ascii="Times New Roman" w:hAnsi="Times New Roman" w:cs="Times New Roman"/>
                <w:sz w:val="24"/>
                <w:szCs w:val="24"/>
              </w:rPr>
            </w:pPr>
            <w:r>
              <w:rPr>
                <w:rFonts w:ascii="Times New Roman" w:hAnsi="Times New Roman" w:cs="Times New Roman"/>
                <w:sz w:val="24"/>
                <w:szCs w:val="24"/>
              </w:rPr>
              <w:t>Black</w:t>
            </w:r>
          </w:p>
        </w:tc>
        <w:tc>
          <w:tcPr>
            <w:tcW w:w="7303" w:type="dxa"/>
          </w:tcPr>
          <w:p w14:paraId="52ED6857" w14:textId="40BE6572" w:rsidR="001C5948" w:rsidRPr="008B2943" w:rsidRDefault="001C5948" w:rsidP="00903182">
            <w:pPr>
              <w:contextualSpacing/>
              <w:rPr>
                <w:rFonts w:ascii="Times New Roman" w:hAnsi="Times New Roman" w:cs="Times New Roman"/>
                <w:sz w:val="24"/>
                <w:szCs w:val="24"/>
              </w:rPr>
            </w:pPr>
            <w:r w:rsidRPr="008B2943">
              <w:rPr>
                <w:rFonts w:ascii="Times New Roman" w:hAnsi="Times New Roman" w:cs="Times New Roman"/>
                <w:sz w:val="24"/>
                <w:szCs w:val="24"/>
              </w:rPr>
              <w:t xml:space="preserve">Indicated </w:t>
            </w:r>
            <w:r>
              <w:rPr>
                <w:rFonts w:ascii="Times New Roman" w:hAnsi="Times New Roman" w:cs="Times New Roman"/>
                <w:sz w:val="24"/>
                <w:szCs w:val="24"/>
              </w:rPr>
              <w:t>“</w:t>
            </w:r>
            <w:r w:rsidRPr="008B2943">
              <w:rPr>
                <w:rFonts w:ascii="Times New Roman" w:hAnsi="Times New Roman" w:cs="Times New Roman"/>
                <w:sz w:val="24"/>
                <w:szCs w:val="24"/>
              </w:rPr>
              <w:t>Black or African American</w:t>
            </w:r>
            <w:r>
              <w:rPr>
                <w:rFonts w:ascii="Times New Roman" w:hAnsi="Times New Roman" w:cs="Times New Roman"/>
                <w:sz w:val="24"/>
                <w:szCs w:val="24"/>
              </w:rPr>
              <w:t xml:space="preserve"> (of African Descent, African American, Nigerian, Jamaican, Ethiopian, Haitian, Somali)”</w:t>
            </w:r>
            <w:r w:rsidRPr="008B2943">
              <w:rPr>
                <w:rFonts w:ascii="Times New Roman" w:hAnsi="Times New Roman" w:cs="Times New Roman"/>
                <w:sz w:val="24"/>
                <w:szCs w:val="24"/>
              </w:rPr>
              <w:t xml:space="preserve"> and never indicated “White,” “Hispanic,” “Asian,” “American Indian,” “Middle Eastern,” “Native Hawaiian/Other Pacific Islander” in any registration forms, OR indicated only Black and “some other race” OR indicated only Black and “decline to answer.” </w:t>
            </w:r>
          </w:p>
        </w:tc>
      </w:tr>
      <w:tr w:rsidR="001C5948" w14:paraId="7F19B9F3" w14:textId="77777777" w:rsidTr="00903182">
        <w:trPr>
          <w:trHeight w:val="1127"/>
        </w:trPr>
        <w:tc>
          <w:tcPr>
            <w:tcW w:w="2371" w:type="dxa"/>
          </w:tcPr>
          <w:p w14:paraId="48572434" w14:textId="77777777" w:rsidR="001C5948" w:rsidRDefault="001C5948" w:rsidP="00903182">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Asian</w:t>
            </w:r>
          </w:p>
        </w:tc>
        <w:tc>
          <w:tcPr>
            <w:tcW w:w="7303" w:type="dxa"/>
          </w:tcPr>
          <w:p w14:paraId="5214B2BC" w14:textId="63468C18" w:rsidR="001C5948" w:rsidRPr="008B2943" w:rsidRDefault="001C5948" w:rsidP="00903182">
            <w:pPr>
              <w:contextualSpacing/>
              <w:rPr>
                <w:rFonts w:ascii="Times New Roman" w:hAnsi="Times New Roman" w:cs="Times New Roman"/>
                <w:sz w:val="24"/>
                <w:szCs w:val="24"/>
              </w:rPr>
            </w:pPr>
            <w:r w:rsidRPr="008B2943">
              <w:rPr>
                <w:rFonts w:ascii="Times New Roman" w:hAnsi="Times New Roman" w:cs="Times New Roman"/>
                <w:sz w:val="24"/>
                <w:szCs w:val="24"/>
              </w:rPr>
              <w:t xml:space="preserve">Indicated </w:t>
            </w:r>
            <w:r>
              <w:rPr>
                <w:rFonts w:ascii="Times New Roman" w:hAnsi="Times New Roman" w:cs="Times New Roman"/>
                <w:sz w:val="24"/>
                <w:szCs w:val="24"/>
              </w:rPr>
              <w:t>“</w:t>
            </w:r>
            <w:r w:rsidRPr="008B2943">
              <w:rPr>
                <w:rFonts w:ascii="Times New Roman" w:hAnsi="Times New Roman" w:cs="Times New Roman"/>
                <w:sz w:val="24"/>
                <w:szCs w:val="24"/>
              </w:rPr>
              <w:t>Asian</w:t>
            </w:r>
            <w:r>
              <w:rPr>
                <w:rFonts w:ascii="Times New Roman" w:hAnsi="Times New Roman" w:cs="Times New Roman"/>
                <w:sz w:val="24"/>
                <w:szCs w:val="24"/>
              </w:rPr>
              <w:t xml:space="preserve"> (Chinese, Filipino, Asian Indian, Vietnamese, Korean, Japanese)”</w:t>
            </w:r>
            <w:r w:rsidRPr="008B2943">
              <w:rPr>
                <w:rFonts w:ascii="Times New Roman" w:hAnsi="Times New Roman" w:cs="Times New Roman"/>
                <w:sz w:val="24"/>
                <w:szCs w:val="24"/>
              </w:rPr>
              <w:t xml:space="preserve"> and never indicated “White,” “Hispanic,” “Black,” “American Indian,” “Middle Eastern,” “Native Hawaiian/Other Pacific Islander” in any registration forms OR indicated only Asian and “some other race” OR indicated only Asian and “decline to answer.” </w:t>
            </w:r>
            <w:r>
              <w:rPr>
                <w:rFonts w:ascii="Times New Roman" w:hAnsi="Times New Roman" w:cs="Times New Roman"/>
                <w:sz w:val="24"/>
                <w:szCs w:val="24"/>
              </w:rPr>
              <w:t xml:space="preserve"> </w:t>
            </w:r>
          </w:p>
        </w:tc>
      </w:tr>
      <w:tr w:rsidR="001C5948" w14:paraId="6431EEB7" w14:textId="77777777" w:rsidTr="00903182">
        <w:trPr>
          <w:trHeight w:val="1124"/>
        </w:trPr>
        <w:tc>
          <w:tcPr>
            <w:tcW w:w="2371" w:type="dxa"/>
          </w:tcPr>
          <w:p w14:paraId="18FF8F73" w14:textId="77777777" w:rsidR="001C5948" w:rsidRDefault="001C5948" w:rsidP="00903182">
            <w:pPr>
              <w:spacing w:line="480" w:lineRule="auto"/>
              <w:contextualSpacing/>
              <w:rPr>
                <w:rFonts w:ascii="Times New Roman" w:hAnsi="Times New Roman" w:cs="Times New Roman"/>
                <w:sz w:val="24"/>
                <w:szCs w:val="24"/>
              </w:rPr>
            </w:pPr>
            <w:r>
              <w:rPr>
                <w:rFonts w:ascii="Times New Roman" w:hAnsi="Times New Roman" w:cs="Times New Roman"/>
                <w:sz w:val="24"/>
                <w:szCs w:val="24"/>
              </w:rPr>
              <w:t>Other Race</w:t>
            </w:r>
          </w:p>
        </w:tc>
        <w:tc>
          <w:tcPr>
            <w:tcW w:w="7303" w:type="dxa"/>
          </w:tcPr>
          <w:p w14:paraId="1F2EDF1C" w14:textId="77777777" w:rsidR="001C5948" w:rsidRPr="008B2943" w:rsidRDefault="001C5948" w:rsidP="00903182">
            <w:pPr>
              <w:contextualSpacing/>
              <w:rPr>
                <w:rFonts w:ascii="Times New Roman" w:hAnsi="Times New Roman" w:cs="Times New Roman"/>
                <w:sz w:val="24"/>
                <w:szCs w:val="24"/>
              </w:rPr>
            </w:pPr>
            <w:r w:rsidRPr="008B2943">
              <w:rPr>
                <w:rFonts w:ascii="Times New Roman" w:hAnsi="Times New Roman" w:cs="Times New Roman"/>
                <w:sz w:val="24"/>
                <w:szCs w:val="24"/>
              </w:rPr>
              <w:t>Indicated only “American Indian</w:t>
            </w:r>
            <w:r>
              <w:rPr>
                <w:rFonts w:ascii="Times New Roman" w:hAnsi="Times New Roman" w:cs="Times New Roman"/>
                <w:sz w:val="24"/>
                <w:szCs w:val="24"/>
              </w:rPr>
              <w:t xml:space="preserve"> or Alaska Native</w:t>
            </w:r>
            <w:r w:rsidRPr="008B2943">
              <w:rPr>
                <w:rFonts w:ascii="Times New Roman" w:hAnsi="Times New Roman" w:cs="Times New Roman"/>
                <w:sz w:val="24"/>
                <w:szCs w:val="24"/>
              </w:rPr>
              <w:t xml:space="preserve">,” OR </w:t>
            </w:r>
            <w:r>
              <w:rPr>
                <w:rFonts w:ascii="Times New Roman" w:hAnsi="Times New Roman" w:cs="Times New Roman"/>
                <w:sz w:val="24"/>
                <w:szCs w:val="24"/>
              </w:rPr>
              <w:t xml:space="preserve">indicated </w:t>
            </w:r>
            <w:r w:rsidRPr="008B2943">
              <w:rPr>
                <w:rFonts w:ascii="Times New Roman" w:hAnsi="Times New Roman" w:cs="Times New Roman"/>
                <w:sz w:val="24"/>
                <w:szCs w:val="24"/>
              </w:rPr>
              <w:t>only “Middle Eastern</w:t>
            </w:r>
            <w:r>
              <w:rPr>
                <w:rFonts w:ascii="Times New Roman" w:hAnsi="Times New Roman" w:cs="Times New Roman"/>
                <w:sz w:val="24"/>
                <w:szCs w:val="24"/>
              </w:rPr>
              <w:t xml:space="preserve"> or North African (Lebanese, Iranian, Egyptian, Syrian, Moroccan, Algerian)</w:t>
            </w:r>
            <w:r w:rsidRPr="008B2943">
              <w:rPr>
                <w:rFonts w:ascii="Times New Roman" w:hAnsi="Times New Roman" w:cs="Times New Roman"/>
                <w:sz w:val="24"/>
                <w:szCs w:val="24"/>
              </w:rPr>
              <w:t xml:space="preserve">,” OR </w:t>
            </w:r>
            <w:r>
              <w:rPr>
                <w:rFonts w:ascii="Times New Roman" w:hAnsi="Times New Roman" w:cs="Times New Roman"/>
                <w:sz w:val="24"/>
                <w:szCs w:val="24"/>
              </w:rPr>
              <w:t>indicated</w:t>
            </w:r>
            <w:r w:rsidRPr="008B2943">
              <w:rPr>
                <w:rFonts w:ascii="Times New Roman" w:hAnsi="Times New Roman" w:cs="Times New Roman"/>
                <w:sz w:val="24"/>
                <w:szCs w:val="24"/>
              </w:rPr>
              <w:t xml:space="preserve"> only “Native Hawaiian</w:t>
            </w:r>
            <w:r>
              <w:rPr>
                <w:rFonts w:ascii="Times New Roman" w:hAnsi="Times New Roman" w:cs="Times New Roman"/>
                <w:sz w:val="24"/>
                <w:szCs w:val="24"/>
              </w:rPr>
              <w:t xml:space="preserve"> or </w:t>
            </w:r>
            <w:r w:rsidRPr="008B2943">
              <w:rPr>
                <w:rFonts w:ascii="Times New Roman" w:hAnsi="Times New Roman" w:cs="Times New Roman"/>
                <w:sz w:val="24"/>
                <w:szCs w:val="24"/>
              </w:rPr>
              <w:t>Other Pacific Islander</w:t>
            </w:r>
            <w:r>
              <w:rPr>
                <w:rFonts w:ascii="Times New Roman" w:hAnsi="Times New Roman" w:cs="Times New Roman"/>
                <w:sz w:val="24"/>
                <w:szCs w:val="24"/>
              </w:rPr>
              <w:t xml:space="preserve"> (Native Hawaiian, Samoan, Chamorro, Tongan, Fijian, Marshallese”</w:t>
            </w:r>
            <w:r w:rsidRPr="008B2943">
              <w:rPr>
                <w:rFonts w:ascii="Times New Roman" w:hAnsi="Times New Roman" w:cs="Times New Roman"/>
                <w:sz w:val="24"/>
                <w:szCs w:val="24"/>
              </w:rPr>
              <w:t xml:space="preserve"> OR indicated “Some other race</w:t>
            </w:r>
            <w:r>
              <w:rPr>
                <w:rFonts w:ascii="Times New Roman" w:hAnsi="Times New Roman" w:cs="Times New Roman"/>
                <w:sz w:val="24"/>
                <w:szCs w:val="24"/>
              </w:rPr>
              <w:t xml:space="preserve"> or ethnicity</w:t>
            </w:r>
            <w:r w:rsidRPr="008B2943">
              <w:rPr>
                <w:rFonts w:ascii="Times New Roman" w:hAnsi="Times New Roman" w:cs="Times New Roman"/>
                <w:sz w:val="24"/>
                <w:szCs w:val="24"/>
              </w:rPr>
              <w:t xml:space="preserve">” and never indicated “White,” “Hispanic,” “Black,” or “Asian.”  </w:t>
            </w:r>
          </w:p>
        </w:tc>
      </w:tr>
      <w:tr w:rsidR="001C5948" w14:paraId="5CDFD744" w14:textId="77777777" w:rsidTr="00903182">
        <w:trPr>
          <w:trHeight w:val="341"/>
        </w:trPr>
        <w:tc>
          <w:tcPr>
            <w:tcW w:w="2371" w:type="dxa"/>
          </w:tcPr>
          <w:p w14:paraId="6A9FCF80" w14:textId="77777777" w:rsidR="001C5948" w:rsidRDefault="001C5948" w:rsidP="00903182">
            <w:pPr>
              <w:spacing w:line="480" w:lineRule="auto"/>
              <w:contextualSpacing/>
              <w:rPr>
                <w:rFonts w:ascii="Times New Roman" w:hAnsi="Times New Roman" w:cs="Times New Roman"/>
                <w:sz w:val="24"/>
                <w:szCs w:val="24"/>
              </w:rPr>
            </w:pPr>
            <w:r>
              <w:rPr>
                <w:rFonts w:ascii="Times New Roman" w:hAnsi="Times New Roman" w:cs="Times New Roman"/>
                <w:sz w:val="24"/>
                <w:szCs w:val="24"/>
              </w:rPr>
              <w:t>Two or More Races</w:t>
            </w:r>
          </w:p>
        </w:tc>
        <w:tc>
          <w:tcPr>
            <w:tcW w:w="7303" w:type="dxa"/>
          </w:tcPr>
          <w:p w14:paraId="0FE8465B" w14:textId="77777777" w:rsidR="001C5948" w:rsidRPr="008B2943" w:rsidRDefault="001C5948" w:rsidP="00903182">
            <w:pPr>
              <w:contextualSpacing/>
              <w:rPr>
                <w:rFonts w:ascii="Times New Roman" w:hAnsi="Times New Roman" w:cs="Times New Roman"/>
                <w:sz w:val="24"/>
                <w:szCs w:val="24"/>
              </w:rPr>
            </w:pPr>
            <w:r w:rsidRPr="008B2943">
              <w:rPr>
                <w:rFonts w:ascii="Times New Roman" w:hAnsi="Times New Roman" w:cs="Times New Roman"/>
                <w:sz w:val="24"/>
                <w:szCs w:val="24"/>
              </w:rPr>
              <w:t>Indicated two or more races.</w:t>
            </w:r>
          </w:p>
        </w:tc>
      </w:tr>
      <w:tr w:rsidR="001C5948" w14:paraId="19886CF8" w14:textId="77777777" w:rsidTr="00903182">
        <w:trPr>
          <w:trHeight w:val="349"/>
        </w:trPr>
        <w:tc>
          <w:tcPr>
            <w:tcW w:w="2371" w:type="dxa"/>
          </w:tcPr>
          <w:p w14:paraId="12522D1D" w14:textId="77777777" w:rsidR="001C5948" w:rsidRDefault="001C5948" w:rsidP="00903182">
            <w:pPr>
              <w:spacing w:line="480" w:lineRule="auto"/>
              <w:contextualSpacing/>
              <w:rPr>
                <w:rFonts w:ascii="Times New Roman" w:hAnsi="Times New Roman" w:cs="Times New Roman"/>
                <w:sz w:val="24"/>
                <w:szCs w:val="24"/>
              </w:rPr>
            </w:pPr>
            <w:r>
              <w:rPr>
                <w:rFonts w:ascii="Times New Roman" w:hAnsi="Times New Roman" w:cs="Times New Roman"/>
                <w:sz w:val="24"/>
                <w:szCs w:val="24"/>
              </w:rPr>
              <w:t>Race Not Provided</w:t>
            </w:r>
          </w:p>
        </w:tc>
        <w:tc>
          <w:tcPr>
            <w:tcW w:w="7303" w:type="dxa"/>
          </w:tcPr>
          <w:p w14:paraId="75996A1A" w14:textId="77777777" w:rsidR="001C5948" w:rsidRPr="008B2943" w:rsidRDefault="001C5948" w:rsidP="00903182">
            <w:pPr>
              <w:contextualSpacing/>
              <w:rPr>
                <w:rFonts w:ascii="Times New Roman" w:hAnsi="Times New Roman" w:cs="Times New Roman"/>
                <w:sz w:val="24"/>
                <w:szCs w:val="24"/>
              </w:rPr>
            </w:pPr>
            <w:r w:rsidRPr="008B2943">
              <w:rPr>
                <w:rFonts w:ascii="Times New Roman" w:hAnsi="Times New Roman" w:cs="Times New Roman"/>
                <w:sz w:val="24"/>
                <w:szCs w:val="24"/>
              </w:rPr>
              <w:t>Indicated only “</w:t>
            </w:r>
            <w:r>
              <w:rPr>
                <w:rFonts w:ascii="Times New Roman" w:hAnsi="Times New Roman" w:cs="Times New Roman"/>
                <w:sz w:val="24"/>
                <w:szCs w:val="24"/>
              </w:rPr>
              <w:t>D</w:t>
            </w:r>
            <w:r w:rsidRPr="008B2943">
              <w:rPr>
                <w:rFonts w:ascii="Times New Roman" w:hAnsi="Times New Roman" w:cs="Times New Roman"/>
                <w:sz w:val="24"/>
                <w:szCs w:val="24"/>
              </w:rPr>
              <w:t>ecline to answer” across all registration forms.</w:t>
            </w:r>
          </w:p>
        </w:tc>
      </w:tr>
    </w:tbl>
    <w:p w14:paraId="70DF9E56" w14:textId="1951FA57" w:rsidR="005A2452" w:rsidRPr="00185940" w:rsidRDefault="00E1696F">
      <w:pPr>
        <w:rPr>
          <w:rFonts w:ascii="Times New Roman" w:hAnsi="Times New Roman" w:cs="Times New Roman"/>
          <w:b/>
          <w:bCs/>
          <w:sz w:val="24"/>
          <w:szCs w:val="24"/>
        </w:rPr>
      </w:pPr>
    </w:p>
    <w:sectPr w:rsidR="005A2452" w:rsidRPr="00185940" w:rsidSect="00DD1DC4">
      <w:footerReference w:type="defaul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D3161" w14:textId="77777777" w:rsidR="00E1696F" w:rsidRDefault="00E1696F">
      <w:pPr>
        <w:spacing w:after="0" w:line="240" w:lineRule="auto"/>
      </w:pPr>
      <w:r>
        <w:separator/>
      </w:r>
    </w:p>
  </w:endnote>
  <w:endnote w:type="continuationSeparator" w:id="0">
    <w:p w14:paraId="543273BF" w14:textId="77777777" w:rsidR="00E1696F" w:rsidRDefault="00E16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029883"/>
      <w:docPartObj>
        <w:docPartGallery w:val="Page Numbers (Bottom of Page)"/>
        <w:docPartUnique/>
      </w:docPartObj>
    </w:sdtPr>
    <w:sdtEndPr>
      <w:rPr>
        <w:noProof/>
      </w:rPr>
    </w:sdtEndPr>
    <w:sdtContent>
      <w:p w14:paraId="2903CBC8" w14:textId="77777777" w:rsidR="00D53C5E" w:rsidRDefault="003066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E871BC" w14:textId="77777777" w:rsidR="00D53C5E" w:rsidRDefault="00E16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0B265" w14:textId="77777777" w:rsidR="00E1696F" w:rsidRDefault="00E1696F">
      <w:pPr>
        <w:spacing w:after="0" w:line="240" w:lineRule="auto"/>
      </w:pPr>
      <w:r>
        <w:separator/>
      </w:r>
    </w:p>
  </w:footnote>
  <w:footnote w:type="continuationSeparator" w:id="0">
    <w:p w14:paraId="6347B0AB" w14:textId="77777777" w:rsidR="00E1696F" w:rsidRDefault="00E169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E67"/>
    <w:rsid w:val="00085969"/>
    <w:rsid w:val="0009461D"/>
    <w:rsid w:val="000E09E0"/>
    <w:rsid w:val="00110109"/>
    <w:rsid w:val="0015069D"/>
    <w:rsid w:val="00185940"/>
    <w:rsid w:val="001C5948"/>
    <w:rsid w:val="00212231"/>
    <w:rsid w:val="002E6114"/>
    <w:rsid w:val="003066E7"/>
    <w:rsid w:val="00331551"/>
    <w:rsid w:val="003E6E7C"/>
    <w:rsid w:val="0040083B"/>
    <w:rsid w:val="004B1387"/>
    <w:rsid w:val="005632E4"/>
    <w:rsid w:val="0057687B"/>
    <w:rsid w:val="006643CA"/>
    <w:rsid w:val="00674922"/>
    <w:rsid w:val="00741166"/>
    <w:rsid w:val="007524B3"/>
    <w:rsid w:val="00772CC9"/>
    <w:rsid w:val="00773D6D"/>
    <w:rsid w:val="007E7CC1"/>
    <w:rsid w:val="00857DF3"/>
    <w:rsid w:val="008B54A8"/>
    <w:rsid w:val="00975282"/>
    <w:rsid w:val="0097535C"/>
    <w:rsid w:val="00A04A0A"/>
    <w:rsid w:val="00AE45F2"/>
    <w:rsid w:val="00C50D84"/>
    <w:rsid w:val="00C64DE4"/>
    <w:rsid w:val="00CD1BA7"/>
    <w:rsid w:val="00DC6EDB"/>
    <w:rsid w:val="00DD1DC4"/>
    <w:rsid w:val="00DD55A9"/>
    <w:rsid w:val="00DE1BE8"/>
    <w:rsid w:val="00E0049B"/>
    <w:rsid w:val="00E1696F"/>
    <w:rsid w:val="00E51E3A"/>
    <w:rsid w:val="00EC2214"/>
    <w:rsid w:val="00EC6EC9"/>
    <w:rsid w:val="00ED4A24"/>
    <w:rsid w:val="00ED6E67"/>
    <w:rsid w:val="00FB213D"/>
    <w:rsid w:val="00FD5354"/>
    <w:rsid w:val="6EC29E6B"/>
    <w:rsid w:val="778C3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EAB60"/>
  <w15:chartTrackingRefBased/>
  <w15:docId w15:val="{FAFBA879-052E-40FD-AFF1-8647E93A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E67"/>
  </w:style>
  <w:style w:type="paragraph" w:styleId="Heading1">
    <w:name w:val="heading 1"/>
    <w:basedOn w:val="Normal"/>
    <w:next w:val="Normal"/>
    <w:link w:val="Heading1Char"/>
    <w:uiPriority w:val="9"/>
    <w:qFormat/>
    <w:rsid w:val="001C5948"/>
    <w:pPr>
      <w:tabs>
        <w:tab w:val="left" w:pos="6647"/>
      </w:tabs>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E67"/>
    <w:rPr>
      <w:color w:val="0000FF"/>
      <w:u w:val="single"/>
    </w:rPr>
  </w:style>
  <w:style w:type="paragraph" w:styleId="Footer">
    <w:name w:val="footer"/>
    <w:basedOn w:val="Normal"/>
    <w:link w:val="FooterChar"/>
    <w:uiPriority w:val="99"/>
    <w:unhideWhenUsed/>
    <w:rsid w:val="00ED6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E67"/>
  </w:style>
  <w:style w:type="table" w:styleId="ListTable4">
    <w:name w:val="List Table 4"/>
    <w:basedOn w:val="TableNormal"/>
    <w:uiPriority w:val="49"/>
    <w:rsid w:val="00ED6E6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ineNumber">
    <w:name w:val="line number"/>
    <w:basedOn w:val="DefaultParagraphFont"/>
    <w:uiPriority w:val="99"/>
    <w:semiHidden/>
    <w:unhideWhenUsed/>
    <w:rsid w:val="00ED6E67"/>
  </w:style>
  <w:style w:type="character" w:customStyle="1" w:styleId="Heading1Char">
    <w:name w:val="Heading 1 Char"/>
    <w:basedOn w:val="DefaultParagraphFont"/>
    <w:link w:val="Heading1"/>
    <w:uiPriority w:val="9"/>
    <w:rsid w:val="001C5948"/>
    <w:rPr>
      <w:rFonts w:ascii="Times New Roman" w:hAnsi="Times New Roman" w:cs="Times New Roman"/>
      <w:b/>
      <w:bCs/>
      <w:sz w:val="24"/>
      <w:szCs w:val="24"/>
    </w:rPr>
  </w:style>
  <w:style w:type="character" w:styleId="CommentReference">
    <w:name w:val="annotation reference"/>
    <w:basedOn w:val="DefaultParagraphFont"/>
    <w:uiPriority w:val="99"/>
    <w:semiHidden/>
    <w:unhideWhenUsed/>
    <w:rsid w:val="00FD5354"/>
    <w:rPr>
      <w:sz w:val="16"/>
      <w:szCs w:val="16"/>
    </w:rPr>
  </w:style>
  <w:style w:type="paragraph" w:styleId="CommentText">
    <w:name w:val="annotation text"/>
    <w:basedOn w:val="Normal"/>
    <w:link w:val="CommentTextChar"/>
    <w:uiPriority w:val="99"/>
    <w:unhideWhenUsed/>
    <w:rsid w:val="00FD5354"/>
    <w:pPr>
      <w:spacing w:line="240" w:lineRule="auto"/>
    </w:pPr>
    <w:rPr>
      <w:sz w:val="20"/>
      <w:szCs w:val="20"/>
    </w:rPr>
  </w:style>
  <w:style w:type="character" w:customStyle="1" w:styleId="CommentTextChar">
    <w:name w:val="Comment Text Char"/>
    <w:basedOn w:val="DefaultParagraphFont"/>
    <w:link w:val="CommentText"/>
    <w:uiPriority w:val="99"/>
    <w:rsid w:val="00FD5354"/>
    <w:rPr>
      <w:sz w:val="20"/>
      <w:szCs w:val="20"/>
    </w:rPr>
  </w:style>
  <w:style w:type="paragraph" w:styleId="CommentSubject">
    <w:name w:val="annotation subject"/>
    <w:basedOn w:val="CommentText"/>
    <w:next w:val="CommentText"/>
    <w:link w:val="CommentSubjectChar"/>
    <w:uiPriority w:val="99"/>
    <w:semiHidden/>
    <w:unhideWhenUsed/>
    <w:rsid w:val="00FD5354"/>
    <w:rPr>
      <w:b/>
      <w:bCs/>
    </w:rPr>
  </w:style>
  <w:style w:type="character" w:customStyle="1" w:styleId="CommentSubjectChar">
    <w:name w:val="Comment Subject Char"/>
    <w:basedOn w:val="CommentTextChar"/>
    <w:link w:val="CommentSubject"/>
    <w:uiPriority w:val="99"/>
    <w:semiHidden/>
    <w:rsid w:val="00FD5354"/>
    <w:rPr>
      <w:b/>
      <w:bCs/>
      <w:sz w:val="20"/>
      <w:szCs w:val="20"/>
    </w:rPr>
  </w:style>
  <w:style w:type="character" w:styleId="FollowedHyperlink">
    <w:name w:val="FollowedHyperlink"/>
    <w:basedOn w:val="DefaultParagraphFont"/>
    <w:uiPriority w:val="99"/>
    <w:semiHidden/>
    <w:unhideWhenUsed/>
    <w:rsid w:val="00773D6D"/>
    <w:rPr>
      <w:color w:val="954F72" w:themeColor="followedHyperlink"/>
      <w:u w:val="single"/>
    </w:rPr>
  </w:style>
  <w:style w:type="paragraph" w:styleId="Revision">
    <w:name w:val="Revision"/>
    <w:hidden/>
    <w:uiPriority w:val="99"/>
    <w:semiHidden/>
    <w:rsid w:val="003315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953679">
      <w:bodyDiv w:val="1"/>
      <w:marLeft w:val="0"/>
      <w:marRight w:val="0"/>
      <w:marTop w:val="0"/>
      <w:marBottom w:val="0"/>
      <w:divBdr>
        <w:top w:val="none" w:sz="0" w:space="0" w:color="auto"/>
        <w:left w:val="none" w:sz="0" w:space="0" w:color="auto"/>
        <w:bottom w:val="none" w:sz="0" w:space="0" w:color="auto"/>
        <w:right w:val="none" w:sz="0" w:space="0" w:color="auto"/>
      </w:divBdr>
    </w:div>
    <w:div w:id="210359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ass-cannabis-control.com/wp-content/uploads/2019/11/Fall_2019_Adult_Regs_500.pdf" TargetMode="External"/><Relationship Id="rId18" Type="http://schemas.openxmlformats.org/officeDocument/2006/relationships/hyperlink" Target="https://mass-cannabis-control.com/wp-content/uploads/200825_Guidance_on_Licensure.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alegislature.gov/Laws/GeneralLaws/PartI/TitleXV/Chapter94G/Section17" TargetMode="External"/><Relationship Id="rId17" Type="http://schemas.openxmlformats.org/officeDocument/2006/relationships/hyperlink" Target="https://mass-cannabis-control.com/wp-content/uploads/200825_Guidance_on_Equity_Programs.pdf" TargetMode="External"/><Relationship Id="rId2" Type="http://schemas.openxmlformats.org/officeDocument/2006/relationships/customXml" Target="../customXml/item2.xml"/><Relationship Id="rId16" Type="http://schemas.openxmlformats.org/officeDocument/2006/relationships/hyperlink" Target="https://mass-cannabis-control.com/wp-content/uploads/200825_Guidance_on_Equity_Program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legislature.gov/Laws/GeneralLaws/PartI/TitleXV/Chapter94G/Section4" TargetMode="External"/><Relationship Id="rId5" Type="http://schemas.openxmlformats.org/officeDocument/2006/relationships/styles" Target="styles.xml"/><Relationship Id="rId15" Type="http://schemas.openxmlformats.org/officeDocument/2006/relationships/hyperlink" Target="https://mass-cannabis-control.com/wp-content/uploads/2019/11/Fall_2019_Adult_Regs_500.pdf" TargetMode="External"/><Relationship Id="rId10" Type="http://schemas.openxmlformats.org/officeDocument/2006/relationships/hyperlink" Target="https://malegislature.gov/Laws/GeneralLaws/PartI/TitleXV/Chapter94G/Section4" TargetMode="Externa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mass-cannabis-control.com/wp-content/uploads/2019/11/Fall_2019_Adult_Regs_5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EBC8CD2BC5AB458A1E7247134F346D" ma:contentTypeVersion="10" ma:contentTypeDescription="Create a new document." ma:contentTypeScope="" ma:versionID="93a042e61193df793abfb68e030d7d08">
  <xsd:schema xmlns:xsd="http://www.w3.org/2001/XMLSchema" xmlns:xs="http://www.w3.org/2001/XMLSchema" xmlns:p="http://schemas.microsoft.com/office/2006/metadata/properties" xmlns:ns2="7dd79fed-3c1a-467b-a2dd-d58b04dd28c7" xmlns:ns3="6ad3c7ed-3a13-4bb2-a2e9-df6e471773ca" targetNamespace="http://schemas.microsoft.com/office/2006/metadata/properties" ma:root="true" ma:fieldsID="f3a666e57e510e707c0d0930f54a24fb" ns2:_="" ns3:_="">
    <xsd:import namespace="7dd79fed-3c1a-467b-a2dd-d58b04dd28c7"/>
    <xsd:import namespace="6ad3c7ed-3a13-4bb2-a2e9-df6e471773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79fed-3c1a-467b-a2dd-d58b04dd28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d3c7ed-3a13-4bb2-a2e9-df6e471773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A373D7-EE9D-43F3-8E49-171A35E45A89}">
  <ds:schemaRefs>
    <ds:schemaRef ds:uri="http://schemas.microsoft.com/sharepoint/v3/contenttype/forms"/>
  </ds:schemaRefs>
</ds:datastoreItem>
</file>

<file path=customXml/itemProps2.xml><?xml version="1.0" encoding="utf-8"?>
<ds:datastoreItem xmlns:ds="http://schemas.openxmlformats.org/officeDocument/2006/customXml" ds:itemID="{7DCE16AC-FB2A-43AD-A567-8BB9E8B32E4E}">
  <ds:schemaRefs>
    <ds:schemaRef ds:uri="http://schemas.openxmlformats.org/officeDocument/2006/bibliography"/>
  </ds:schemaRefs>
</ds:datastoreItem>
</file>

<file path=customXml/itemProps3.xml><?xml version="1.0" encoding="utf-8"?>
<ds:datastoreItem xmlns:ds="http://schemas.openxmlformats.org/officeDocument/2006/customXml" ds:itemID="{0B7F3E8A-C9D7-4476-AD05-E92879B9AA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FE7961-66B0-4153-A11D-83258E95F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79fed-3c1a-467b-a2dd-d58b04dd28c7"/>
    <ds:schemaRef ds:uri="6ad3c7ed-3a13-4bb2-a2e9-df6e47177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Doonan</dc:creator>
  <cp:keywords/>
  <dc:description/>
  <cp:lastModifiedBy>Reagan Fitzke</cp:lastModifiedBy>
  <cp:revision>3</cp:revision>
  <dcterms:created xsi:type="dcterms:W3CDTF">2021-12-03T13:47:00Z</dcterms:created>
  <dcterms:modified xsi:type="dcterms:W3CDTF">2021-12-08T17:55:00Z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0x010100FBEBC8CD2BC5AB458A1E7247134F346D</vt:lpwstr>
  </property>
</Properties>
</file>